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November 8,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620" w:space="720"/>
            <w:col w:w="2940" w:space="720"/>
            <w:col w:w="2420"/>
          </w:cols>
          <w:pgMar w:left="240" w:top="225" w:right="2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5"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San Diego, CA 92121</w:t>
      </w:r>
    </w:p>
    <w:p>
      <w:pPr>
        <w:jc w:val="center"/>
        <w:ind w:right="-19"/>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420"/>
          </w:cols>
          <w:pgMar w:left="240" w:top="225" w:right="2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400"/>
        <w:spacing w:after="0" w:line="316" w:lineRule="auto"/>
        <w:rPr>
          <w:sz w:val="20"/>
          <w:szCs w:val="20"/>
          <w:color w:val="auto"/>
        </w:rPr>
      </w:pPr>
      <w:r>
        <w:rPr>
          <w:rFonts w:ascii="Arial" w:cs="Arial" w:eastAsia="Arial" w:hAnsi="Arial"/>
          <w:sz w:val="19"/>
          <w:szCs w:val="19"/>
          <w:color w:val="auto"/>
        </w:rPr>
        <w:t>On November 8, 2019, AnaptysBio, Inc. (“</w:t>
      </w:r>
      <w:r>
        <w:rPr>
          <w:rFonts w:ascii="Arial" w:cs="Arial" w:eastAsia="Arial" w:hAnsi="Arial"/>
          <w:sz w:val="19"/>
          <w:szCs w:val="19"/>
          <w:b w:val="1"/>
          <w:bCs w:val="1"/>
          <w:i w:val="1"/>
          <w:iCs w:val="1"/>
          <w:color w:val="auto"/>
        </w:rPr>
        <w:t>AnaptysBio</w:t>
      </w:r>
      <w:r>
        <w:rPr>
          <w:rFonts w:ascii="Arial" w:cs="Arial" w:eastAsia="Arial" w:hAnsi="Arial"/>
          <w:sz w:val="19"/>
          <w:szCs w:val="19"/>
          <w:color w:val="auto"/>
        </w:rPr>
        <w:t>”) issued a press release announcing its financial results for the nine months ended September 30, 2019. A copy of the press release is attached as Exhibit 99.1 to this Current Report on Form 8-K.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w:t>
      </w:r>
    </w:p>
    <w:p>
      <w:pPr>
        <w:spacing w:after="0" w:line="181" w:lineRule="exact"/>
        <w:rPr>
          <w:sz w:val="20"/>
          <w:szCs w:val="20"/>
          <w:color w:val="auto"/>
        </w:rPr>
      </w:pPr>
    </w:p>
    <w:p>
      <w:pPr>
        <w:ind w:right="160"/>
        <w:spacing w:after="0" w:line="278" w:lineRule="auto"/>
        <w:rPr>
          <w:sz w:val="20"/>
          <w:szCs w:val="20"/>
          <w:color w:val="auto"/>
        </w:rPr>
      </w:pPr>
      <w:r>
        <w:rPr>
          <w:rFonts w:ascii="Arial" w:cs="Arial" w:eastAsia="Arial" w:hAnsi="Arial"/>
          <w:sz w:val="20"/>
          <w:szCs w:val="20"/>
          <w:color w:val="auto"/>
        </w:rPr>
        <w:t>On November 8, 2019, AnaptysBio issued a press release announcing that its Etokimab ATLAS Phase 2b clinical trial in moderate-to-severe atopic dermatitis failed to meet its primary endpoint. A copy of the press release is furnished as Exhibit 99.2 to this report and incorporated herein by reference.</w:t>
      </w:r>
    </w:p>
    <w:p>
      <w:pPr>
        <w:spacing w:after="0" w:line="200" w:lineRule="exact"/>
        <w:rPr>
          <w:sz w:val="20"/>
          <w:szCs w:val="20"/>
          <w:color w:val="auto"/>
        </w:rPr>
      </w:pPr>
    </w:p>
    <w:p>
      <w:pPr>
        <w:spacing w:after="0" w:line="35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information within this report, including Exhibit 99.1 and Exhibit 99.2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exhibits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0"/>
                <w:szCs w:val="20"/>
                <w:color w:val="auto"/>
              </w:rPr>
            </w:pPr>
            <w:r>
              <w:rPr>
                <w:rFonts w:ascii="Arial" w:cs="Arial" w:eastAsia="Arial" w:hAnsi="Arial"/>
                <w:sz w:val="20"/>
                <w:szCs w:val="20"/>
                <w:color w:val="auto"/>
              </w:rPr>
              <w:t>(d) Exhibits.</w:t>
            </w:r>
          </w:p>
        </w:tc>
        <w:tc>
          <w:tcPr>
            <w:tcW w:w="25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42"/>
        </w:trPr>
        <w:tc>
          <w:tcPr>
            <w:tcW w:w="1420" w:type="dxa"/>
            <w:vAlign w:val="bottom"/>
          </w:tcPr>
          <w:p>
            <w:pPr>
              <w:ind w:left="40"/>
              <w:spacing w:after="0"/>
              <w:rPr>
                <w:sz w:val="20"/>
                <w:szCs w:val="20"/>
                <w:color w:val="auto"/>
              </w:rPr>
            </w:pPr>
            <w:r>
              <w:rPr>
                <w:rFonts w:ascii="Arial" w:cs="Arial" w:eastAsia="Arial" w:hAnsi="Arial"/>
                <w:sz w:val="20"/>
                <w:szCs w:val="20"/>
                <w:color w:val="auto"/>
              </w:rPr>
              <w:t>99.1</w:t>
            </w:r>
          </w:p>
        </w:tc>
        <w:tc>
          <w:tcPr>
            <w:tcW w:w="964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Inc. regarding its financial results for the three and nine months ended September 30,</w:t>
              </w:r>
            </w:hyperlink>
          </w:p>
        </w:tc>
        <w:tc>
          <w:tcPr>
            <w:tcW w:w="60" w:type="dxa"/>
            <w:vAlign w:val="bottom"/>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2500" w:type="dxa"/>
            <w:vAlign w:val="bottom"/>
            <w:tcBorders>
              <w:bottom w:val="single" w:sz="8" w:color="0000FF"/>
            </w:tcBorders>
          </w:tcPr>
          <w:p>
            <w:pPr>
              <w:spacing w:after="0" w:line="209" w:lineRule="exact"/>
              <w:rPr>
                <w:rFonts w:ascii="Arial" w:cs="Arial" w:eastAsia="Arial" w:hAnsi="Arial"/>
                <w:sz w:val="20"/>
                <w:szCs w:val="20"/>
                <w:color w:val="0000FF"/>
                <w:w w:val="88"/>
              </w:rPr>
            </w:pPr>
            <w:hyperlink w:anchor="page4">
              <w:r>
                <w:rPr>
                  <w:rFonts w:ascii="Arial" w:cs="Arial" w:eastAsia="Arial" w:hAnsi="Arial"/>
                  <w:sz w:val="20"/>
                  <w:szCs w:val="20"/>
                  <w:color w:val="0000FF"/>
                  <w:w w:val="88"/>
                </w:rPr>
                <w:t>2019, dated November 8, 2019.</w:t>
              </w:r>
            </w:hyperlink>
          </w:p>
        </w:tc>
        <w:tc>
          <w:tcPr>
            <w:tcW w:w="7200" w:type="dxa"/>
            <w:vAlign w:val="bottom"/>
            <w:gridSpan w:val="2"/>
          </w:tcPr>
          <w:p>
            <w:pPr>
              <w:spacing w:after="0"/>
              <w:rPr>
                <w:sz w:val="18"/>
                <w:szCs w:val="18"/>
                <w:color w:val="auto"/>
              </w:rPr>
            </w:pPr>
          </w:p>
        </w:tc>
      </w:tr>
      <w:tr>
        <w:trPr>
          <w:trHeight w:val="399"/>
        </w:trPr>
        <w:tc>
          <w:tcPr>
            <w:tcW w:w="1420" w:type="dxa"/>
            <w:vAlign w:val="bottom"/>
          </w:tcPr>
          <w:p>
            <w:pPr>
              <w:ind w:left="40"/>
              <w:spacing w:after="0"/>
              <w:rPr>
                <w:sz w:val="20"/>
                <w:szCs w:val="20"/>
                <w:color w:val="auto"/>
              </w:rPr>
            </w:pPr>
            <w:r>
              <w:rPr>
                <w:rFonts w:ascii="Arial" w:cs="Arial" w:eastAsia="Arial" w:hAnsi="Arial"/>
                <w:sz w:val="20"/>
                <w:szCs w:val="20"/>
                <w:color w:val="auto"/>
              </w:rPr>
              <w:t>99.2</w:t>
            </w:r>
          </w:p>
        </w:tc>
        <w:tc>
          <w:tcPr>
            <w:tcW w:w="9700" w:type="dxa"/>
            <w:vAlign w:val="bottom"/>
            <w:tcBorders>
              <w:bottom w:val="single" w:sz="8" w:color="0000FF"/>
            </w:tcBorders>
            <w:gridSpan w:val="3"/>
          </w:tcPr>
          <w:p>
            <w:pPr>
              <w:spacing w:after="0"/>
              <w:rPr>
                <w:rFonts w:ascii="Arial" w:cs="Arial" w:eastAsia="Arial" w:hAnsi="Arial"/>
                <w:sz w:val="20"/>
                <w:szCs w:val="20"/>
                <w:color w:val="0000FF"/>
                <w:w w:val="89"/>
              </w:rPr>
            </w:pPr>
            <w:hyperlink w:anchor="page9">
              <w:r>
                <w:rPr>
                  <w:rFonts w:ascii="Arial" w:cs="Arial" w:eastAsia="Arial" w:hAnsi="Arial"/>
                  <w:sz w:val="20"/>
                  <w:szCs w:val="20"/>
                  <w:color w:val="0000FF"/>
                  <w:w w:val="89"/>
                </w:rPr>
                <w:t>Press release issued by AnaptysBio, Inc. regarding its Etokimab ATLAS Phase 2b Clinical Trial, dated November 8, 2019.</w:t>
              </w:r>
            </w:hyperlink>
          </w:p>
        </w:tc>
      </w:tr>
      <w:tr>
        <w:trPr>
          <w:trHeight w:val="686"/>
        </w:trPr>
        <w:tc>
          <w:tcPr>
            <w:tcW w:w="1420" w:type="dxa"/>
            <w:vAlign w:val="bottom"/>
          </w:tcPr>
          <w:p>
            <w:pPr>
              <w:ind w:left="40"/>
              <w:spacing w:after="0"/>
              <w:rPr>
                <w:sz w:val="20"/>
                <w:szCs w:val="20"/>
                <w:color w:val="auto"/>
              </w:rPr>
            </w:pPr>
            <w:r>
              <w:rPr>
                <w:rFonts w:ascii="Arial" w:cs="Arial" w:eastAsia="Arial" w:hAnsi="Arial"/>
                <w:sz w:val="20"/>
                <w:szCs w:val="20"/>
                <w:color w:val="auto"/>
              </w:rPr>
              <w:t>104</w:t>
            </w:r>
          </w:p>
        </w:tc>
        <w:tc>
          <w:tcPr>
            <w:tcW w:w="9700" w:type="dxa"/>
            <w:vAlign w:val="bottom"/>
            <w:gridSpan w:val="3"/>
          </w:tcPr>
          <w:p>
            <w:pPr>
              <w:spacing w:after="0"/>
              <w:rPr>
                <w:sz w:val="20"/>
                <w:szCs w:val="20"/>
                <w:color w:val="auto"/>
              </w:rPr>
            </w:pPr>
            <w:r>
              <w:rPr>
                <w:rFonts w:ascii="Arial" w:cs="Arial" w:eastAsia="Arial" w:hAnsi="Arial"/>
                <w:sz w:val="20"/>
                <w:szCs w:val="20"/>
                <w:color w:val="auto"/>
                <w:w w:val="99"/>
              </w:rPr>
              <w:t>Cover Page Interactive Data File (the cover page XBRL tags are embedded within the inline XBRL document).</w:t>
            </w:r>
          </w:p>
        </w:tc>
      </w:tr>
    </w:tbl>
    <w:p>
      <w:pPr>
        <w:sectPr>
          <w:pgSz w:w="11900" w:h="16838" w:orient="portrait"/>
          <w:cols w:equalWidth="0" w:num="1">
            <w:col w:w="11300"/>
          </w:cols>
          <w:pgMar w:left="240" w:top="44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340" w:val="left"/>
          <w:tab w:leader="none" w:pos="2820" w:val="left"/>
        </w:tabs>
        <w:rPr>
          <w:sz w:val="20"/>
          <w:szCs w:val="20"/>
          <w:color w:val="auto"/>
        </w:rPr>
      </w:pPr>
      <w:r>
        <w:rPr>
          <w:rFonts w:ascii="Arial" w:cs="Arial" w:eastAsia="Arial" w:hAnsi="Arial"/>
          <w:sz w:val="20"/>
          <w:szCs w:val="20"/>
          <w:color w:val="auto"/>
        </w:rPr>
        <w:t>Date: November 8,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-14605</wp:posOffset>
            </wp:positionV>
            <wp:extent cx="1242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Interim Chief Financial Officer and General Counsel</w:t>
      </w:r>
    </w:p>
    <w:p>
      <w:pPr>
        <w:sectPr>
          <w:pgSz w:w="11900" w:h="16838" w:orient="portrait"/>
          <w:cols w:equalWidth="0" w:num="1">
            <w:col w:w="11420"/>
          </w:cols>
          <w:pgMar w:left="240" w:top="45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AnaptysBio Announces Third Quarter 2019 Financial Results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Pipeline Updates</w:t>
      </w: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Topline Data From Etokimab ATLAS Phase 2b Clinical Trial in Moderate-to-Severe Atopic Dermatitis Failed to Meet Primary Endpoint</w:t>
      </w:r>
    </w:p>
    <w:p>
      <w:pPr>
        <w:spacing w:after="0" w:line="130" w:lineRule="exact"/>
        <w:rPr>
          <w:rFonts w:ascii="Arial" w:cs="Arial" w:eastAsia="Arial" w:hAnsi="Arial"/>
          <w:sz w:val="18"/>
          <w:szCs w:val="18"/>
          <w:color w:val="auto"/>
        </w:rPr>
      </w:pPr>
    </w:p>
    <w:p>
      <w:pPr>
        <w:ind w:left="340" w:right="6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Reported Positive Topline Data from Interim Analysis of GALLOP Phase 2 Clinical Trial of ANB019 Monotherapy in Moderate-to-Severe Generalized Pustular Psoriasis</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IND Filing for Company’s Third Wholly-Owned Program, ANB030, an anti-PD-1 Agonist Antibody, Expected in 4Q19</w:t>
      </w:r>
    </w:p>
    <w:p>
      <w:pPr>
        <w:spacing w:after="0" w:line="210" w:lineRule="exact"/>
        <w:rPr>
          <w:sz w:val="20"/>
          <w:szCs w:val="20"/>
          <w:color w:val="auto"/>
        </w:rPr>
      </w:pPr>
    </w:p>
    <w:p>
      <w:pPr>
        <w:jc w:val="both"/>
        <w:ind w:right="500"/>
        <w:spacing w:after="0" w:line="253"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November 8, 2019 </w:t>
      </w:r>
      <w:r>
        <w:rPr>
          <w:rFonts w:ascii="Arial" w:cs="Arial" w:eastAsia="Arial" w:hAnsi="Arial"/>
          <w:sz w:val="20"/>
          <w:szCs w:val="20"/>
          <w:color w:val="auto"/>
        </w:rPr>
        <w:t>- AnaptysBio, Inc. (Nasdaq: ANAB), a clinical-stage biotechnology company developing first-in-class</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product candidates focused on unmet medical needs in inflammation, today reported operating results for the third quarter ended September 30, 2019 and provided pipeline updates.</w:t>
      </w:r>
    </w:p>
    <w:p>
      <w:pPr>
        <w:spacing w:after="0" w:line="278" w:lineRule="exact"/>
        <w:rPr>
          <w:sz w:val="20"/>
          <w:szCs w:val="20"/>
          <w:color w:val="auto"/>
        </w:rPr>
      </w:pPr>
    </w:p>
    <w:p>
      <w:pPr>
        <w:jc w:val="both"/>
        <w:ind w:right="80"/>
        <w:spacing w:after="0" w:line="246" w:lineRule="auto"/>
        <w:rPr>
          <w:sz w:val="20"/>
          <w:szCs w:val="20"/>
          <w:color w:val="auto"/>
        </w:rPr>
      </w:pPr>
      <w:r>
        <w:rPr>
          <w:rFonts w:ascii="Arial" w:cs="Arial" w:eastAsia="Arial" w:hAnsi="Arial"/>
          <w:sz w:val="20"/>
          <w:szCs w:val="20"/>
          <w:color w:val="auto"/>
        </w:rPr>
        <w:t>“While we are disappointed with the top-line results of our etokimab ATLAS trial, we intend to re-evaluate our etokimab development strategy following additional data from ATLAS and top-line results from ECLIPSE in the first quarter of 2020,” said Hamza Suria, president and chief executive officer of AnaptysBio. “We look forward to advancing ANB019, ANB030 and additional preclinical programs in our wholly-owned pipeline.”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1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Company today announced topline data from its ATLAS trial, a Phase 2b randomized, double-blinded, placebo-controlled, multi-dose study in approximately 300 adult patients treated with etokimab in moderate-to-severe atopic dermatitis. Each of the etokimab dosing arms failed to meet the primary endpoint of the trial, which was demonstration of statistically greater improvement in the Eczema Area and Severity Index (EASI) relative placebo at week 16.</w:t>
      </w:r>
    </w:p>
    <w:p>
      <w:pPr>
        <w:spacing w:after="0" w:line="83"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AnaptysBio is conducting a randomized, placebo-controlled Phase 2 trial in approximately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The Company anticipates topline data from an interim analysis of the ECLIPSE trial in the first quarter of 2020.</w:t>
      </w:r>
    </w:p>
    <w:p>
      <w:pPr>
        <w:spacing w:after="0" w:line="5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has decided to postpone the initiation of its planned Phase 2b etokimab clinical trial in eosinophilic asthma, a multi-dose, randomized, double-blinded, placebo-controlled trial in 300-400 patients, until it has the opportunity to analyze the full data set from the ATLAS trial.</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220" w:hanging="328"/>
        <w:spacing w:after="0" w:line="25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In September, AnaptysBio announced positive topline data from an interim analysis of its Phase 2 clinical trial of ANB019 monotherapy in moderate-to-severe generalized pustular psoriasis, or GPP, also known as the GALLOP trial. In this interim analysis, both patients achieved the primary endpoint of disease score improvement at Day 29 and Day 113 without requiring rescue therapy, demonstrated rapid and sustained mJDA score improvement, with reduction of 58% at Day 8 and 63% at Day 113, and showed complete clearance of skin pustules by Day 8 and through Day 113, with CRP levels decreasing to nearly normal. Enrollment is ongoing in the GALLOP study, and the Company anticipates additional clinical data and a regulatory strategy update for the development of ANB019 in GPP during 2020.</w:t>
      </w:r>
    </w:p>
    <w:p>
      <w:pPr>
        <w:spacing w:after="0" w:line="71" w:lineRule="exact"/>
        <w:rPr>
          <w:rFonts w:ascii="Arial" w:cs="Arial" w:eastAsia="Arial" w:hAnsi="Arial"/>
          <w:sz w:val="17"/>
          <w:szCs w:val="17"/>
          <w:color w:val="auto"/>
        </w:rPr>
      </w:pPr>
    </w:p>
    <w:p>
      <w:pPr>
        <w:ind w:left="660" w:right="860" w:hanging="328"/>
        <w:spacing w:after="0" w:line="3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also conducting a randomized, placebo-controlled, multi-dose Phase 2 trial in 50 patients with palmoplantar pustulosis, or PPP, also known as the POPLAR trial, with topline data anticipated in the first half of 2020.</w:t>
      </w:r>
    </w:p>
    <w:p>
      <w:pPr>
        <w:sectPr>
          <w:pgSz w:w="11900" w:h="16838" w:orient="portrait"/>
          <w:cols w:equalWidth="0" w:num="1">
            <w:col w:w="11420"/>
          </w:cols>
          <w:pgMar w:left="240" w:top="643"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108"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color w:val="auto"/>
        </w:rPr>
        <w:t xml:space="preserve">ANB030 is a wholly-owned antibody that binds PD-1 in an agonistic manner, leading to reduced T cell activity and anti-inflammatory effects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Genetic mutations in the PD-1 pathway are associated with increased susceptibility to various inflammatory conditions and we believe ANB030 has the potential to suppress inflammatory diseases by restoring insufficient PD-1-mediated negative signaling on activated T cells. The Company plans to focus future clinical development of ANB030 on certain autoimmune diseases where PD-1 checkpoint receptor function may be under-represented and anticipates filing an Investigational New Drug Application (IND) in the fourth quarter of 2019 and initiating a Phase 1 clinical trial in 2020. Preclinical data from the ANB030 was presented in June at the 2019 FOCIS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Board of Directors</w:t>
      </w:r>
    </w:p>
    <w:p>
      <w:pPr>
        <w:spacing w:after="0" w:line="108" w:lineRule="exact"/>
        <w:rPr>
          <w:sz w:val="20"/>
          <w:szCs w:val="20"/>
          <w:color w:val="auto"/>
        </w:rPr>
      </w:pPr>
    </w:p>
    <w:p>
      <w:pPr>
        <w:ind w:left="660" w:hanging="328"/>
        <w:spacing w:after="0" w:line="263"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September, the Company appointed Laura J. Hamill to its board of directors. Most recently, Ms. Hamill served as Executive Vice President, Worldwide Commercial Operations, for Gilead Sciences, where she was involved in the strategic direction and long-term planning of the organization. Previously, Ms. Hamill held a number of US and international executive roles at Amgen, culminating with Senior Vice President and General Manager where she led ~$20B in U.S. commercial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Third Quarter Financial Results</w:t>
      </w:r>
    </w:p>
    <w:p>
      <w:pPr>
        <w:spacing w:after="0" w:line="108" w:lineRule="exact"/>
        <w:rPr>
          <w:sz w:val="20"/>
          <w:szCs w:val="20"/>
          <w:color w:val="auto"/>
        </w:rPr>
      </w:pPr>
    </w:p>
    <w:p>
      <w:pPr>
        <w:ind w:left="660" w:right="1080" w:hanging="328"/>
        <w:spacing w:after="0" w:line="36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totaled $444.4 million as of September 30, 2019 compared to $500.2 million as of December 31, 2018, for a decrease of $55.8 million. The decrease relates primarily to cash used for operating activities.</w:t>
      </w:r>
    </w:p>
    <w:p>
      <w:pPr>
        <w:spacing w:after="0" w:line="1" w:lineRule="exact"/>
        <w:rPr>
          <w:rFonts w:ascii="Arial" w:cs="Arial" w:eastAsia="Arial" w:hAnsi="Arial"/>
          <w:sz w:val="16"/>
          <w:szCs w:val="16"/>
          <w:color w:val="auto"/>
        </w:rPr>
      </w:pPr>
    </w:p>
    <w:p>
      <w:pPr>
        <w:ind w:left="660" w:right="40" w:hanging="328"/>
        <w:spacing w:after="0" w:line="29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 revenue was zero and $5.0 million for the three and nine months ended September 30, 2019, which related to a milestone for initiation of a Phase 3 trial in a second indication for dostarlimab, the anti-PD-1 antagonist antibody partnered with TESARO, a GlaxoSmithKline (GSK) company, compared to $5.0 million for the three and nine months ended September 30, 2019.</w:t>
      </w:r>
    </w:p>
    <w:p>
      <w:pPr>
        <w:spacing w:after="0" w:line="43" w:lineRule="exact"/>
        <w:rPr>
          <w:rFonts w:ascii="Arial" w:cs="Arial" w:eastAsia="Arial" w:hAnsi="Arial"/>
          <w:sz w:val="18"/>
          <w:szCs w:val="18"/>
          <w:color w:val="auto"/>
        </w:rPr>
      </w:pPr>
    </w:p>
    <w:p>
      <w:pPr>
        <w:ind w:left="660" w:right="10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$29.9 million and $77.9 million for the three and nine months ended September 30, 2019, compared to $17.9 million and $40.3 million for the three and nine months ended September 30, 2018. The increase was due primarily to continued advancement of the Company’s etokimab and ANB019 clinical programs and additional personnel-related expenses, including share-based compensation.</w:t>
      </w:r>
    </w:p>
    <w:p>
      <w:pPr>
        <w:spacing w:after="0" w:line="83" w:lineRule="exact"/>
        <w:rPr>
          <w:rFonts w:ascii="Arial" w:cs="Arial" w:eastAsia="Arial" w:hAnsi="Arial"/>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$3.8 million and $12.3 million for the three and nine months ended September 30, 2019, compared to $4.0 million and $11.8 million for the three and nine months ended September 30, 2018. The change was due primarily to personnel-related expenses, including share-based compensation.</w:t>
      </w:r>
    </w:p>
    <w:p>
      <w:pPr>
        <w:spacing w:after="0" w:line="78" w:lineRule="exact"/>
        <w:rPr>
          <w:rFonts w:ascii="Arial" w:cs="Arial" w:eastAsia="Arial" w:hAnsi="Arial"/>
          <w:sz w:val="20"/>
          <w:szCs w:val="20"/>
          <w:b w:val="1"/>
          <w:bCs w:val="1"/>
          <w:color w:val="auto"/>
        </w:rPr>
      </w:pPr>
    </w:p>
    <w:p>
      <w:pPr>
        <w:jc w:val="both"/>
        <w:ind w:left="660" w:right="100" w:hanging="328"/>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$31.0 million and $77.1 million for the three and nine months ended September 30, 2019, or a net loss per share of $1.15 and $2.85, compared to a net loss of $16.0 million and $44.7 million for the three and nine months ended September 30, 2018, or a net loss per share of $0.66 and $1.86.</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AnaptysBio expects that its cash, cash equivalents and investments will fund its current operating plan, taking into account the adjustments to etokimab clinical development activities referenced above, at least into 2021. The Company expects to re-evaluate its current operating plan in light of the topline data from the ATLAS trial and to make adjustments as appropriate to manage the Company’s available cash resources.</w:t>
      </w:r>
    </w:p>
    <w:p>
      <w:pPr>
        <w:sectPr>
          <w:pgSz w:w="11900" w:h="16838" w:orient="portrait"/>
          <w:cols w:equalWidth="0" w:num="1">
            <w:col w:w="11420"/>
          </w:cols>
          <w:pgMar w:left="240" w:top="69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and its PD-1 agonist program, ANB030, and other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 GSK company,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 clinical trial in adult patients with chronic rhinosinusitis with nasal polys and ANB019’s Phase 2 clinical trials in GPP and PPP, the timing of and our ability to launch a Phase 2b clinical trial of etokimab in eosinophilic asthma patients, and the timing of an IND filing for ANB030, a new wholly-owned anti-inflammatory antibody program.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Eric Loumeau</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858.732.0179</w:t>
      </w:r>
    </w:p>
    <w:p>
      <w:pPr>
        <w:spacing w:after="0"/>
        <w:rPr>
          <w:sz w:val="20"/>
          <w:szCs w:val="20"/>
          <w:color w:val="auto"/>
        </w:rPr>
      </w:pPr>
      <w:r>
        <w:rPr>
          <w:rFonts w:ascii="Arial" w:cs="Arial" w:eastAsia="Arial" w:hAnsi="Arial"/>
          <w:sz w:val="20"/>
          <w:szCs w:val="20"/>
          <w:u w:val="single" w:color="auto"/>
          <w:color w:val="0563C1"/>
        </w:rPr>
        <w:t>eloumeau@anaptysbio.com</w:t>
      </w:r>
    </w:p>
    <w:p>
      <w:pPr>
        <w:sectPr>
          <w:pgSz w:w="11900" w:h="16838" w:orient="portrait"/>
          <w:cols w:equalWidth="0" w:num="1">
            <w:col w:w="11420"/>
          </w:cols>
          <w:pgMar w:left="240" w:top="738"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par value data)</w:t>
      </w:r>
    </w:p>
    <w:p>
      <w:pPr>
        <w:spacing w:after="0" w:line="227"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23495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p>
      <w:pPr>
        <w:spacing w:after="0" w:line="11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10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September 30,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27,098 shares and 26,922 shares issued and outstanding at September 30, 2019 and December 31, 2018,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182,898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113,596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238,104</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313,486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3,595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424,597</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434,216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1,695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23,418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73,128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1,735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451,505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31"/>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10,522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15,286</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8,761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3,077</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845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29,730</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21,836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883</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644,148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633,251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480</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(223,763)</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(146,690)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420,892</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486,365</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451,505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-25400</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-196850</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-3026410</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-3197860</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260" w:space="720"/>
            <w:col w:w="2400"/>
          </w:cols>
          <w:pgMar w:left="28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4"/>
        </w:trPr>
        <w:tc>
          <w:tcPr>
            <w:tcW w:w="53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29,931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77,912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40,276</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3,814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12,262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11,783</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33,745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52,059</w:t>
            </w:r>
          </w:p>
        </w:tc>
        <w:tc>
          <w:tcPr>
            <w:tcW w:w="0" w:type="dxa"/>
            <w:vAlign w:val="bottom"/>
          </w:tcPr>
          <w:p>
            <w:pPr>
              <w:spacing w:after="0"/>
              <w:rPr>
                <w:sz w:val="1"/>
                <w:szCs w:val="1"/>
                <w:color w:val="auto"/>
              </w:rPr>
            </w:pPr>
          </w:p>
        </w:tc>
      </w:tr>
      <w:tr>
        <w:trPr>
          <w:trHeight w:val="217"/>
        </w:trPr>
        <w:tc>
          <w:tcPr>
            <w:tcW w:w="538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(33,745)</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(85,174)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(47,059)</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17"/>
        </w:trPr>
        <w:tc>
          <w:tcPr>
            <w:tcW w:w="5380" w:type="dxa"/>
            <w:vAlign w:val="bottom"/>
          </w:tcPr>
          <w:p>
            <w:pPr>
              <w:ind w:left="760"/>
              <w:spacing w:after="0"/>
              <w:rPr>
                <w:sz w:val="20"/>
                <w:szCs w:val="20"/>
                <w:color w:val="auto"/>
              </w:rPr>
            </w:pPr>
            <w:r>
              <w:rPr>
                <w:rFonts w:ascii="Arial" w:cs="Arial" w:eastAsia="Arial" w:hAnsi="Arial"/>
                <w:sz w:val="16"/>
                <w:szCs w:val="16"/>
                <w:color w:val="auto"/>
              </w:rPr>
              <w:t>Loss before income taxes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(31,084)</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(77,203)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(44,662)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760"/>
              <w:spacing w:after="0"/>
              <w:rPr>
                <w:sz w:val="20"/>
                <w:szCs w:val="20"/>
                <w:color w:val="auto"/>
              </w:rPr>
            </w:pPr>
            <w:r>
              <w:rPr>
                <w:rFonts w:ascii="Arial" w:cs="Arial" w:eastAsia="Arial" w:hAnsi="Arial"/>
                <w:sz w:val="16"/>
                <w:szCs w:val="16"/>
                <w:color w:val="auto"/>
              </w:rPr>
              <w:t>Net loss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(31,033)</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(77,073)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(44,662)</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380" w:type="dxa"/>
            <w:vAlign w:val="bottom"/>
          </w:tcPr>
          <w:p>
            <w:pPr>
              <w:ind w:left="520"/>
              <w:spacing w:after="0"/>
              <w:rPr>
                <w:sz w:val="20"/>
                <w:szCs w:val="20"/>
                <w:color w:val="auto"/>
              </w:rPr>
            </w:pPr>
            <w:r>
              <w:rPr>
                <w:rFonts w:ascii="Arial" w:cs="Arial" w:eastAsia="Arial" w:hAnsi="Arial"/>
                <w:sz w:val="16"/>
                <w:szCs w:val="16"/>
                <w:color w:val="auto"/>
                <w:w w:val="99"/>
              </w:rPr>
              <w:t>Unrealized (loss) income on available for sale securities, net of tax of</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520"/>
              <w:spacing w:after="0"/>
              <w:rPr>
                <w:sz w:val="20"/>
                <w:szCs w:val="20"/>
                <w:color w:val="auto"/>
              </w:rPr>
            </w:pPr>
            <w:r>
              <w:rPr>
                <w:rFonts w:ascii="Arial" w:cs="Arial" w:eastAsia="Arial" w:hAnsi="Arial"/>
                <w:sz w:val="16"/>
                <w:szCs w:val="16"/>
                <w:color w:val="auto"/>
              </w:rPr>
              <w:t>($25), $0, $189 and $0, respectively</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(31,127)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(44,777)</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loss per common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3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Weighted-average number of shares outstanding:</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3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27,058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27,022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23,961</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spacing w:after="0" w:line="265" w:lineRule="auto"/>
        <w:rPr>
          <w:sz w:val="20"/>
          <w:szCs w:val="20"/>
          <w:color w:val="auto"/>
        </w:rPr>
      </w:pPr>
      <w:r>
        <w:rPr>
          <w:rFonts w:ascii="Arial" w:cs="Arial" w:eastAsia="Arial" w:hAnsi="Arial"/>
          <w:sz w:val="25"/>
          <w:szCs w:val="25"/>
          <w:b w:val="1"/>
          <w:bCs w:val="1"/>
          <w:color w:val="auto"/>
        </w:rPr>
        <w:t>AnaptysBio Reports Etokimab ATLAS Phase 2b Clinical Trial in Moderate-to-Severe Atopic Dermatitis Fails to Meet Primary Endpoint</w:t>
      </w:r>
    </w:p>
    <w:p>
      <w:pPr>
        <w:spacing w:after="0" w:line="371"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b w:val="1"/>
          <w:bCs w:val="1"/>
          <w:color w:val="auto"/>
        </w:rPr>
        <w:t xml:space="preserve">SAN DIEGO, Nov. 8, 2019 </w:t>
      </w:r>
      <w:r>
        <w:rPr>
          <w:rFonts w:ascii="Arial" w:cs="Arial" w:eastAsia="Arial" w:hAnsi="Arial"/>
          <w:sz w:val="19"/>
          <w:szCs w:val="19"/>
          <w:color w:val="auto"/>
        </w:rPr>
        <w:t>- AnaptysBio, Inc. (Nasdaq: ANAB), a clinical-stage biotechnology company developing first-in-class antibody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candidates focused on unmet medical needs in inflammation, today announced topline data from its ATLAS trial, a Phase 2b randomized, double-blinded, placebo-controlled, multi-dose study in approximately 300 adult patients treated with etokimab in moderate-to-severe atopic dermatitis. Each of the etokimab dosing arms failed to meet the primary endpoint of the trial, which was demonstration of statistically greater improvement in the Eczema Area and Severity Index (EASI) relative placebo at week 16. The Company will be receiving additional data and plans to provide a detailed update in the first quarter of 2020.</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 a result of this topline data, the Company has decided to postpone the initiation of its Phase 2b etokimab clinical trial in eosinophilic asthma, a multi-dose, randomized, double-blinded, placebo-controlled trial in 300-400 patients, until it has the opportunity to analyze the full data set from the ATLAS trial. The Company will continue conducting its ECLIPSE trial, a randomized, placebo-controlled Phase 2 trial in approximately 100 adult patients with chronic rhinosinusitis with nasal polyps, with topline data from an interim analysis expected in the first quarter of 2020.</w:t>
      </w:r>
    </w:p>
    <w:p>
      <w:pPr>
        <w:spacing w:after="0" w:line="20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are surprised and very disappointed by the topline results of the ATLAS trial,” said Hamza Suria, president and chief executive officer of AnaptysBio. “We would like to thank all involved in the participation and support of the ATLAS study, including the patients, the investigators, their staff and our employees. We look forward to continuing our strategy of advancing our wholly-owned clinical and preclinical pipeline programs.”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and its PD-1 agonist program, ANB030, and other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 GSK company,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w:t>
      </w:r>
      <w:r>
        <w:rPr>
          <w:rFonts w:ascii="Arial" w:cs="Arial" w:eastAsia="Arial" w:hAnsi="Arial"/>
          <w:sz w:val="21"/>
          <w:szCs w:val="21"/>
          <w:b w:val="1"/>
          <w:bCs w:val="1"/>
          <w:color w:val="auto"/>
        </w:rPr>
        <w:t>-Looking Statements</w:t>
      </w:r>
    </w:p>
    <w:p>
      <w:pPr>
        <w:spacing w:after="0" w:line="39" w:lineRule="exact"/>
        <w:rPr>
          <w:sz w:val="20"/>
          <w:szCs w:val="20"/>
          <w:color w:val="auto"/>
        </w:rPr>
      </w:pPr>
    </w:p>
    <w:p>
      <w:pPr>
        <w:ind w:right="140"/>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updated data from etokimab’s Phase 2b clinical trial in moderate-to-severe adult atopic dermatitis patients and data from etokimab’s Phase 2 clinical trial in adult patients with chronic rhinosinusitis with nasal polyps.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w:t>
      </w:r>
    </w:p>
    <w:p>
      <w:pPr>
        <w:sectPr>
          <w:pgSz w:w="11900" w:h="16838" w:orient="portrait"/>
          <w:cols w:equalWidth="0" w:num="1">
            <w:col w:w="11420"/>
          </w:cols>
          <w:pgMar w:left="240" w:top="576" w:right="239" w:bottom="1440" w:gutter="0" w:footer="0" w:header="0"/>
        </w:sectPr>
      </w:pPr>
    </w:p>
    <w:bookmarkStart w:id="9" w:name="page10"/>
    <w:bookmarkEnd w:id="9"/>
    <w:p>
      <w:pPr>
        <w:spacing w:after="0" w:line="274" w:lineRule="auto"/>
        <w:rPr>
          <w:sz w:val="20"/>
          <w:szCs w:val="20"/>
          <w:color w:val="auto"/>
        </w:rPr>
      </w:pPr>
      <w:r>
        <w:rPr>
          <w:rFonts w:ascii="Arial" w:cs="Arial" w:eastAsia="Arial" w:hAnsi="Arial"/>
          <w:sz w:val="18"/>
          <w:szCs w:val="18"/>
          <w:color w:val="auto"/>
        </w:rPr>
        <w:t>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Eric Loumeau</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858.732.0179</w:t>
      </w:r>
    </w:p>
    <w:p>
      <w:pPr>
        <w:spacing w:after="0"/>
        <w:rPr>
          <w:sz w:val="20"/>
          <w:szCs w:val="20"/>
          <w:color w:val="auto"/>
        </w:rPr>
      </w:pPr>
      <w:r>
        <w:rPr>
          <w:rFonts w:ascii="Arial" w:cs="Arial" w:eastAsia="Arial" w:hAnsi="Arial"/>
          <w:sz w:val="20"/>
          <w:szCs w:val="20"/>
          <w:u w:val="single" w:color="auto"/>
          <w:color w:val="0563C1"/>
        </w:rPr>
        <w:t>eloumeau@anaptysbio.com</w:t>
      </w:r>
    </w:p>
    <w:sectPr>
      <w:pgSz w:w="11900" w:h="16838" w:orient="portrait"/>
      <w:cols w:equalWidth="0" w:num="1">
        <w:col w:w="11260"/>
      </w:cols>
      <w:pgMar w:left="240" w:top="58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2019-12-28T01:54:11Z</dcterms:created>
  <dcterms:modified xsi:type="dcterms:W3CDTF">2019-12-28T01:54:11Z</dcterms:modified>
</cp:coreProperties>
</file>