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7047865" cy="8713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8713470"/>
                    </a:xfrm>
                    <a:prstGeom prst="rect">
                      <a:avLst/>
                    </a:prstGeom>
                    <a:noFill/>
                  </pic:spPr>
                </pic:pic>
              </a:graphicData>
            </a:graphic>
          </wp:anchor>
        </w:drawing>
      </w:r>
    </w:p>
    <w:p>
      <w:pPr>
        <w:spacing w:after="0" w:line="1155" w:lineRule="exact"/>
        <w:rPr>
          <w:sz w:val="24"/>
          <w:szCs w:val="24"/>
          <w:color w:val="auto"/>
        </w:rPr>
      </w:pPr>
    </w:p>
    <w:p>
      <w:pPr>
        <w:sectPr>
          <w:pgSz w:w="11900" w:h="16838" w:orient="portrait"/>
          <w:cols w:equalWidth="0" w:num="2">
            <w:col w:w="2280" w:space="340"/>
            <w:col w:w="8460"/>
          </w:cols>
          <w:pgMar w:left="460" w:top="216" w:right="359" w:bottom="113"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spacing w:after="0"/>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Schmid John P.</w:t>
              </w:r>
            </w:hyperlink>
          </w:p>
        </w:tc>
        <w:tc>
          <w:tcPr>
            <w:tcW w:w="1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ANAPTYSBIO,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ANAB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Borders>
              <w:bottom w:val="single" w:sz="8" w:color="0000EE"/>
            </w:tcBorders>
          </w:tcPr>
          <w:p>
            <w:pPr>
              <w:spacing w:after="0"/>
              <w:rPr>
                <w:sz w:val="5"/>
                <w:szCs w:val="5"/>
                <w:color w:val="auto"/>
              </w:rPr>
            </w:pPr>
          </w:p>
        </w:tc>
        <w:tc>
          <w:tcPr>
            <w:tcW w:w="204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40" w:type="dxa"/>
            <w:vAlign w:val="bottom"/>
            <w:tcBorders>
              <w:bottom w:val="single" w:sz="8" w:color="0000EE"/>
            </w:tcBorders>
            <w:gridSpan w:val="2"/>
            <w:vMerge w:val="continue"/>
          </w:tcPr>
          <w:p>
            <w:pPr>
              <w:spacing w:after="0"/>
              <w:rPr>
                <w:sz w:val="5"/>
                <w:szCs w:val="5"/>
                <w:color w:val="auto"/>
              </w:rPr>
            </w:pPr>
          </w:p>
        </w:tc>
        <w:tc>
          <w:tcPr>
            <w:tcW w:w="118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240" w:type="dxa"/>
            <w:vAlign w:val="bottom"/>
            <w:gridSpan w:val="2"/>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8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04/20/2026</w:t>
            </w:r>
          </w:p>
        </w:tc>
        <w:tc>
          <w:tcPr>
            <w:tcW w:w="20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C/O ANAPTYSBIO, INC.</w:t>
            </w:r>
          </w:p>
        </w:tc>
        <w:tc>
          <w:tcPr>
            <w:tcW w:w="1220" w:type="dxa"/>
            <w:vAlign w:val="bottom"/>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2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10770 WATERIDGE CIRCLE, SUITE 210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13"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DIEGO</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92121</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1" w:lineRule="exact"/>
        <w:rPr>
          <w:sz w:val="20"/>
          <w:szCs w:val="20"/>
          <w:color w:val="auto"/>
        </w:rPr>
      </w:pPr>
    </w:p>
    <w:p>
      <w:pPr>
        <w:sectPr>
          <w:pgSz w:w="11900" w:h="16838" w:orient="portrait"/>
          <w:cols w:equalWidth="0" w:num="2">
            <w:col w:w="7540" w:space="720"/>
            <w:col w:w="2820"/>
          </w:cols>
          <w:pgMar w:left="460" w:top="216" w:right="359" w:bottom="113"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24.6</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4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15,000</w:t>
            </w: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02/23/2027</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15,000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18.03</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15,000</w:t>
            </w:r>
          </w:p>
        </w:tc>
        <w:tc>
          <w:tcPr>
            <w:tcW w:w="480" w:type="dxa"/>
            <w:vAlign w:val="bottom"/>
          </w:tcPr>
          <w:p>
            <w:pPr>
              <w:spacing w:after="0"/>
              <w:rPr>
                <w:sz w:val="16"/>
                <w:szCs w:val="16"/>
                <w:color w:val="auto"/>
              </w:rPr>
            </w:pP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02/23/2027</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15,000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104.81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2"/>
                <w:szCs w:val="12"/>
                <w:color w:val="auto"/>
              </w:rPr>
            </w:pPr>
          </w:p>
        </w:tc>
        <w:tc>
          <w:tcPr>
            <w:tcW w:w="800" w:type="dxa"/>
            <w:vAlign w:val="bottom"/>
            <w:vMerge w:val="restart"/>
          </w:tcPr>
          <w:p>
            <w:pPr>
              <w:ind w:left="120"/>
              <w:spacing w:after="0" w:line="266"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48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6,000</w:t>
            </w:r>
          </w:p>
        </w:tc>
        <w:tc>
          <w:tcPr>
            <w:tcW w:w="78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02/01/2028</w:t>
            </w: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6,000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6,000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76.79</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2"/>
                <w:szCs w:val="12"/>
                <w:color w:val="auto"/>
              </w:rPr>
            </w:pPr>
          </w:p>
        </w:tc>
        <w:tc>
          <w:tcPr>
            <w:tcW w:w="800" w:type="dxa"/>
            <w:vAlign w:val="bottom"/>
            <w:vMerge w:val="restart"/>
          </w:tcPr>
          <w:p>
            <w:pPr>
              <w:ind w:left="120"/>
              <w:spacing w:after="0" w:line="266"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6,000</w:t>
            </w:r>
          </w:p>
        </w:tc>
        <w:tc>
          <w:tcPr>
            <w:tcW w:w="480" w:type="dxa"/>
            <w:vAlign w:val="bottom"/>
          </w:tcPr>
          <w:p>
            <w:pPr>
              <w:spacing w:after="0"/>
              <w:rPr>
                <w:sz w:val="12"/>
                <w:szCs w:val="12"/>
                <w:color w:val="auto"/>
              </w:rPr>
            </w:pPr>
          </w:p>
        </w:tc>
        <w:tc>
          <w:tcPr>
            <w:tcW w:w="78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02/01/2028</w:t>
            </w: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6,000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6,000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68.88</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2"/>
                <w:szCs w:val="12"/>
                <w:color w:val="auto"/>
              </w:rPr>
            </w:pPr>
          </w:p>
        </w:tc>
        <w:tc>
          <w:tcPr>
            <w:tcW w:w="800" w:type="dxa"/>
            <w:vAlign w:val="bottom"/>
            <w:vMerge w:val="restart"/>
          </w:tcPr>
          <w:p>
            <w:pPr>
              <w:ind w:left="120"/>
              <w:spacing w:after="0" w:line="266"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48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6,000</w:t>
            </w:r>
          </w:p>
        </w:tc>
        <w:tc>
          <w:tcPr>
            <w:tcW w:w="78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02/07/2029</w:t>
            </w: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6,000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6,000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50.47</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2"/>
                <w:szCs w:val="12"/>
                <w:color w:val="auto"/>
              </w:rPr>
            </w:pPr>
          </w:p>
        </w:tc>
        <w:tc>
          <w:tcPr>
            <w:tcW w:w="800" w:type="dxa"/>
            <w:vAlign w:val="bottom"/>
            <w:vMerge w:val="restart"/>
          </w:tcPr>
          <w:p>
            <w:pPr>
              <w:ind w:left="120"/>
              <w:spacing w:after="0" w:line="266"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6,000</w:t>
            </w:r>
          </w:p>
        </w:tc>
        <w:tc>
          <w:tcPr>
            <w:tcW w:w="480" w:type="dxa"/>
            <w:vAlign w:val="bottom"/>
          </w:tcPr>
          <w:p>
            <w:pPr>
              <w:spacing w:after="0"/>
              <w:rPr>
                <w:sz w:val="12"/>
                <w:szCs w:val="12"/>
                <w:color w:val="auto"/>
              </w:rPr>
            </w:pPr>
          </w:p>
        </w:tc>
        <w:tc>
          <w:tcPr>
            <w:tcW w:w="78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02/07/2029</w:t>
            </w: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6,000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6,000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16.56</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4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11,000</w:t>
            </w: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02/11/2030</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11,000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12.14</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11,000</w:t>
            </w:r>
          </w:p>
        </w:tc>
        <w:tc>
          <w:tcPr>
            <w:tcW w:w="480" w:type="dxa"/>
            <w:vAlign w:val="bottom"/>
          </w:tcPr>
          <w:p>
            <w:pPr>
              <w:spacing w:after="0"/>
              <w:rPr>
                <w:sz w:val="16"/>
                <w:szCs w:val="16"/>
                <w:color w:val="auto"/>
              </w:rPr>
            </w:pP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02/11/2030</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11,000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29.7</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4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11,000</w:t>
            </w: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02/09/2031</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11,000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21.76</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11,000</w:t>
            </w:r>
          </w:p>
        </w:tc>
        <w:tc>
          <w:tcPr>
            <w:tcW w:w="480" w:type="dxa"/>
            <w:vAlign w:val="bottom"/>
          </w:tcPr>
          <w:p>
            <w:pPr>
              <w:spacing w:after="0"/>
              <w:rPr>
                <w:sz w:val="16"/>
                <w:szCs w:val="16"/>
                <w:color w:val="auto"/>
              </w:rPr>
            </w:pP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02/09/2031</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11,000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680" w:type="dxa"/>
            <w:vAlign w:val="bottom"/>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jc w:val="center"/>
              <w:ind w:right="2"/>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6" w:right="359" w:bottom="11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5815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5815965"/>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right"/>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30.44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2"/>
                <w:szCs w:val="12"/>
                <w:color w:val="auto"/>
              </w:rPr>
            </w:pPr>
          </w:p>
        </w:tc>
        <w:tc>
          <w:tcPr>
            <w:tcW w:w="800" w:type="dxa"/>
            <w:vAlign w:val="bottom"/>
            <w:vMerge w:val="restart"/>
          </w:tcPr>
          <w:p>
            <w:pPr>
              <w:ind w:left="120"/>
              <w:spacing w:after="0" w:line="266"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48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9,200</w:t>
            </w:r>
          </w:p>
        </w:tc>
        <w:tc>
          <w:tcPr>
            <w:tcW w:w="78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02/09/2032</w:t>
            </w: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9,200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9,200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right"/>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22.13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2"/>
                <w:szCs w:val="12"/>
                <w:color w:val="auto"/>
              </w:rPr>
            </w:pPr>
          </w:p>
        </w:tc>
        <w:tc>
          <w:tcPr>
            <w:tcW w:w="800" w:type="dxa"/>
            <w:vAlign w:val="bottom"/>
            <w:vMerge w:val="restart"/>
          </w:tcPr>
          <w:p>
            <w:pPr>
              <w:ind w:left="120"/>
              <w:spacing w:after="0" w:line="266"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9,200</w:t>
            </w:r>
          </w:p>
        </w:tc>
        <w:tc>
          <w:tcPr>
            <w:tcW w:w="480" w:type="dxa"/>
            <w:vAlign w:val="bottom"/>
          </w:tcPr>
          <w:p>
            <w:pPr>
              <w:spacing w:after="0"/>
              <w:rPr>
                <w:sz w:val="12"/>
                <w:szCs w:val="12"/>
                <w:color w:val="auto"/>
              </w:rPr>
            </w:pPr>
          </w:p>
        </w:tc>
        <w:tc>
          <w:tcPr>
            <w:tcW w:w="78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02/09/2032</w:t>
            </w: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9,200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9,200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right"/>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23.23</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4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10,600</w:t>
            </w: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01/05/2033</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10,600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10,600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right"/>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17.02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10,600</w:t>
            </w:r>
          </w:p>
        </w:tc>
        <w:tc>
          <w:tcPr>
            <w:tcW w:w="480" w:type="dxa"/>
            <w:vAlign w:val="bottom"/>
          </w:tcPr>
          <w:p>
            <w:pPr>
              <w:spacing w:after="0"/>
              <w:rPr>
                <w:sz w:val="16"/>
                <w:szCs w:val="16"/>
                <w:color w:val="auto"/>
              </w:rPr>
            </w:pP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01/05/2033</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10,600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10,600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right"/>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21.19</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4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01/02/2034</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16,510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right"/>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15.53</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480" w:type="dxa"/>
            <w:vAlign w:val="bottom"/>
          </w:tcPr>
          <w:p>
            <w:pPr>
              <w:spacing w:after="0"/>
              <w:rPr>
                <w:sz w:val="16"/>
                <w:szCs w:val="16"/>
                <w:color w:val="auto"/>
              </w:rPr>
            </w:pP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01/02/2034</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16,510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right"/>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14.83</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4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01/06/2035</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16,510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right"/>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10.87</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480" w:type="dxa"/>
            <w:vAlign w:val="bottom"/>
          </w:tcPr>
          <w:p>
            <w:pPr>
              <w:spacing w:after="0"/>
              <w:rPr>
                <w:sz w:val="16"/>
                <w:szCs w:val="16"/>
                <w:color w:val="auto"/>
              </w:rPr>
            </w:pP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01/06/2035</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16,510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right"/>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43.91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2"/>
                <w:szCs w:val="12"/>
                <w:color w:val="auto"/>
              </w:rPr>
            </w:pPr>
          </w:p>
        </w:tc>
        <w:tc>
          <w:tcPr>
            <w:tcW w:w="800" w:type="dxa"/>
            <w:vAlign w:val="bottom"/>
            <w:vMerge w:val="restart"/>
          </w:tcPr>
          <w:p>
            <w:pPr>
              <w:ind w:left="120"/>
              <w:spacing w:after="0" w:line="266"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48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5,500</w:t>
            </w:r>
          </w:p>
        </w:tc>
        <w:tc>
          <w:tcPr>
            <w:tcW w:w="78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01/06/2036</w:t>
            </w: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5,500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5,500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right"/>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32.17</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2"/>
                <w:szCs w:val="12"/>
                <w:color w:val="auto"/>
              </w:rPr>
            </w:pPr>
          </w:p>
        </w:tc>
        <w:tc>
          <w:tcPr>
            <w:tcW w:w="800" w:type="dxa"/>
            <w:vAlign w:val="bottom"/>
            <w:vMerge w:val="restart"/>
          </w:tcPr>
          <w:p>
            <w:pPr>
              <w:ind w:left="120"/>
              <w:spacing w:after="0" w:line="266"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5,500</w:t>
            </w:r>
          </w:p>
        </w:tc>
        <w:tc>
          <w:tcPr>
            <w:tcW w:w="480" w:type="dxa"/>
            <w:vAlign w:val="bottom"/>
          </w:tcPr>
          <w:p>
            <w:pPr>
              <w:spacing w:after="0"/>
              <w:rPr>
                <w:sz w:val="12"/>
                <w:szCs w:val="12"/>
                <w:color w:val="auto"/>
              </w:rPr>
            </w:pPr>
          </w:p>
        </w:tc>
        <w:tc>
          <w:tcPr>
            <w:tcW w:w="78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01/06/2036</w:t>
            </w: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5,500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5,500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restart"/>
          </w:tcPr>
          <w:p>
            <w:pPr>
              <w:jc w:val="center"/>
              <w:ind w:right="2"/>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as of a pro rata distribution by AnaptysBio to holders of its shares of common stock pursuant to the Separation and Distribution Agreement dated as of April 20, 2026, by and between AnaptysBio and</w:t>
      </w:r>
    </w:p>
    <w:p>
      <w:pPr>
        <w:spacing w:after="0" w:line="3" w:lineRule="exact"/>
        <w:rPr>
          <w:rFonts w:ascii="Times New Roman" w:cs="Times New Roman" w:eastAsia="Times New Roman" w:hAnsi="Times New Roman"/>
          <w:sz w:val="13"/>
          <w:szCs w:val="13"/>
          <w:color w:val="008000"/>
        </w:rPr>
      </w:pPr>
    </w:p>
    <w:p>
      <w:pPr>
        <w:ind w:left="20" w:right="140"/>
        <w:spacing w:after="0" w:line="23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First Tracks (the "Separation Agreement"), each outstanding option to acquire AnaptysBio shares of common stock was adjusted so that such option became an option to acquire First Tracks shares of common stock and an option to acquire AnaptysBio shares of common stock. As a result, the Reporting Person acquired options to acquire AnaptyBio shares of common stock in an amount determined in accordance with the Separation Agreement.</w:t>
      </w:r>
    </w:p>
    <w:p>
      <w:pPr>
        <w:spacing w:after="0" w:line="25"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exercisable.</w:t>
      </w:r>
    </w:p>
    <w:p>
      <w:pPr>
        <w:spacing w:after="0" w:line="40"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1/12 of the total shares monthly commencing on February 6, 2026 until fully vested, subject to the Reporting Person's provision of service to the Issuer on each vesting date.</w:t>
      </w:r>
    </w:p>
    <w:p>
      <w:pPr>
        <w:spacing w:after="0" w:line="60"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rPr>
              <w:t>/s/ Dan Faga, Attorney-in-Fact</w:t>
            </w:r>
          </w:p>
        </w:tc>
        <w:tc>
          <w:tcPr>
            <w:tcW w:w="18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04/22/2026</w:t>
            </w: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700" w:hanging="1"/>
        <w:spacing w:after="0" w:line="330"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8916"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2026-04-22T17:36:25Z</dcterms:created>
  <dcterms:modified xsi:type="dcterms:W3CDTF">2026-04-22T17:36:25Z</dcterms:modified>
</cp:coreProperties>
</file>