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4.jpeg" ContentType="image/jpeg"/>
  <Override PartName="/word/media/image1.jpeg" ContentType="image/jpeg"/>
  <Override PartName="/word/media/image2.jpeg" ContentType="image/jpeg"/>
  <Override PartName="/word/media/image5.jpeg" ContentType="image/jpeg"/>
  <Override PartName="/word/media/image15.png" ContentType="image/png"/>
  <Override PartName="/word/media/image3.jpeg" ContentType="image/jpeg"/>
  <Override PartName="/word/media/image4.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fiscal year ended December 31, 2024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80" w:after="283"/>
        <w:jc w:val="center"/>
        <w:rPr/>
      </w:pPr>
      <w:r>
        <w:rPr>
          <w:rFonts w:ascii="Times New Roman;sans-serif" w:hAnsi="Times New Roman;sans-serif"/>
          <w:b/>
          <w:color w:val="000000"/>
          <w:sz w:val="16"/>
        </w:rPr>
        <w:t>FOR THE TRANSITION PERIOD FROM</w:t>
      </w:r>
      <w:r>
        <w:rPr>
          <w:color w:val="000000"/>
          <w:u w:val="single"/>
        </w:rPr>
        <w:t>          </w:t>
      </w:r>
      <w:r>
        <w:rPr>
          <w:color w:val="000000"/>
        </w:rPr>
        <w:t xml:space="preserve"> </w:t>
      </w:r>
      <w:r>
        <w:rPr>
          <w:rFonts w:ascii="Times New Roman;sans-serif" w:hAnsi="Times New Roman;sans-serif"/>
          <w:b/>
          <w:color w:val="000000"/>
          <w:sz w:val="16"/>
        </w:rPr>
        <w:t>TO</w:t>
      </w:r>
      <w:r>
        <w:rPr>
          <w:color w:val="000000"/>
          <w:u w:val="single"/>
        </w:rPr>
        <w:t>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001-37985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ANAPTYSBIO,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w:t>
      </w:r>
    </w:p>
    <w:tbl>
      <w:tblPr>
        <w:tblW w:w="3820" w:type="dxa"/>
        <w:jc w:val="left"/>
        <w:tblInd w:w="0" w:type="dxa"/>
        <w:tblLayout w:type="fixed"/>
        <w:tblCellMar>
          <w:top w:w="28" w:type="dxa"/>
          <w:left w:w="28" w:type="dxa"/>
          <w:bottom w:w="28" w:type="dxa"/>
          <w:right w:w="28" w:type="dxa"/>
        </w:tblCellMar>
      </w:tblPr>
      <w:tblGrid>
        <w:gridCol w:w="717"/>
        <w:gridCol w:w="628"/>
        <w:gridCol w:w="634"/>
        <w:gridCol w:w="109"/>
        <w:gridCol w:w="109"/>
        <w:gridCol w:w="109"/>
        <w:gridCol w:w="442"/>
        <w:gridCol w:w="442"/>
        <w:gridCol w:w="630"/>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20-3828755</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Number)</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10770 Wateridge Circle, Suite 210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San Diego, CA 92121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 and zip code)</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(858) 362-6295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w:t>
      </w:r>
    </w:p>
    <w:p>
      <w:pPr>
        <w:pStyle w:val="TextBody"/>
        <w:bidi w:val="0"/>
        <w:spacing w:lineRule="auto" w:line="288" w:before="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registered pursuant to Section 12(b) of the Act: </w:t>
      </w:r>
    </w:p>
    <w:tbl>
      <w:tblPr>
        <w:tblW w:w="7123" w:type="dxa"/>
        <w:jc w:val="center"/>
        <w:tblInd w:w="0" w:type="dxa"/>
        <w:tblLayout w:type="fixed"/>
        <w:tblCellMar>
          <w:top w:w="28" w:type="dxa"/>
          <w:left w:w="28" w:type="dxa"/>
          <w:bottom w:w="28" w:type="dxa"/>
          <w:right w:w="28" w:type="dxa"/>
        </w:tblCellMar>
      </w:tblPr>
      <w:tblGrid>
        <w:gridCol w:w="897"/>
        <w:gridCol w:w="783"/>
        <w:gridCol w:w="794"/>
        <w:gridCol w:w="474"/>
        <w:gridCol w:w="474"/>
        <w:gridCol w:w="476"/>
        <w:gridCol w:w="945"/>
        <w:gridCol w:w="945"/>
        <w:gridCol w:w="1335"/>
      </w:tblGrid>
      <w:tr>
        <w:trPr/>
        <w:tc>
          <w:tcPr>
            <w:tcW w:w="89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ANAB</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80" w:after="283"/>
        <w:jc w:val="left"/>
        <w:rPr/>
      </w:pPr>
      <w:r>
        <w:rPr>
          <w:rFonts w:ascii="Times New Roman;sans-serif" w:hAnsi="Times New Roman;sans-serif"/>
          <w:b w:val="false"/>
          <w:color w:val="000000"/>
          <w:sz w:val="16"/>
        </w:rPr>
        <w:t xml:space="preserve">Securities registered pursuant to Section 12(g) of the Act: </w:t>
      </w:r>
      <w:r>
        <w:rPr>
          <w:rFonts w:ascii="Times New Roman;sans-serif" w:hAnsi="Times New Roman;sans-serif"/>
          <w:b/>
          <w:color w:val="000000"/>
          <w:sz w:val="16"/>
        </w:rPr>
        <w:t>None</w:t>
      </w:r>
    </w:p>
    <w:p>
      <w:pPr>
        <w:pStyle w:val="TextBody"/>
        <w:bidi w:val="0"/>
        <w:spacing w:lineRule="auto" w:line="288" w:before="80" w:after="283"/>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6"/>
        </w:rPr>
        <w:t>No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 xml:space="preserve">☒ </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06"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109"/>
        <w:gridCol w:w="109"/>
        <w:gridCol w:w="109"/>
        <w:gridCol w:w="109"/>
        <w:gridCol w:w="109"/>
        <w:gridCol w:w="109"/>
        <w:gridCol w:w="694"/>
        <w:gridCol w:w="694"/>
        <w:gridCol w:w="698"/>
        <w:gridCol w:w="109"/>
        <w:gridCol w:w="109"/>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left"/>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 xml:space="preserve">☒ </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voting common equity held by non-affiliates of the registrant was $487,837,306 as of June 30, 2024.</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Registrant’s Common Stock outstanding was 30,666,781 as of February 24, 2025.</w:t>
      </w:r>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relating to the 2025 Annual Meeting of Stockholders, scheduled to be held on June 17, 2025, are incorporated by reference into Part III of this Annual Report on Form 10-K to the extent stated herein. The Definitive Proxy Statement will be filed within 120 days of the Registrant’s fiscal year ended December 31, 2024. Except with respect to information specifically incorporated by reference in this Form 10-K, the Proxy Statement is not deemed to be filed as part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319"/>
        <w:gridCol w:w="280"/>
        <w:gridCol w:w="287"/>
        <w:gridCol w:w="109"/>
        <w:gridCol w:w="109"/>
        <w:gridCol w:w="109"/>
        <w:gridCol w:w="2684"/>
        <w:gridCol w:w="2684"/>
        <w:gridCol w:w="2702"/>
        <w:gridCol w:w="109"/>
        <w:gridCol w:w="109"/>
        <w:gridCol w:w="109"/>
        <w:gridCol w:w="149"/>
        <w:gridCol w:w="149"/>
        <w:gridCol w:w="213"/>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6">
              <w:r>
                <w:rPr>
                  <w:rStyle w:val="InternetLink"/>
                  <w:rFonts w:ascii="Times New Roman;sans-serif" w:hAnsi="Times New Roman;sans-serif"/>
                  <w:b w:val="false"/>
                  <w:color w:val="0000FF"/>
                  <w:sz w:val="18"/>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6">
              <w:r>
                <w:rPr>
                  <w:rStyle w:val="InternetLink"/>
                  <w:rFonts w:ascii="Times New Roman;sans-serif" w:hAnsi="Times New Roman;sans-serif"/>
                  <w:b w:val="false"/>
                  <w:strike w:val="false"/>
                  <w:dstrike w:val="false"/>
                  <w:color w:val="000000"/>
                  <w:sz w:val="18"/>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9">
              <w:r>
                <w:rPr>
                  <w:rStyle w:val="InternetLink"/>
                  <w:rFonts w:ascii="Times New Roman;sans-serif" w:hAnsi="Times New Roman;sans-serif"/>
                  <w:b w:val="false"/>
                  <w:color w:val="0000FF"/>
                  <w:sz w:val="18"/>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9">
              <w:r>
                <w:rPr>
                  <w:rStyle w:val="InternetLink"/>
                  <w:rFonts w:ascii="Times New Roman;sans-serif" w:hAnsi="Times New Roman;sans-serif"/>
                  <w:b w:val="false"/>
                  <w:strike w:val="false"/>
                  <w:dstrike w:val="false"/>
                  <w:color w:val="000000"/>
                  <w:sz w:val="18"/>
                  <w:u w:val="none"/>
                  <w:effect w:val="none"/>
                </w:rPr>
                <w:t>18</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43">
              <w:r>
                <w:rPr>
                  <w:rStyle w:val="InternetLink"/>
                  <w:rFonts w:ascii="Times New Roman;sans-serif" w:hAnsi="Times New Roman;sans-serif"/>
                  <w:b w:val="false"/>
                  <w:color w:val="0000FF"/>
                  <w:sz w:val="18"/>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43">
              <w:r>
                <w:rPr>
                  <w:rStyle w:val="InternetLink"/>
                  <w:rFonts w:ascii="Times New Roman;sans-serif" w:hAnsi="Times New Roman;sans-serif"/>
                  <w:b w:val="false"/>
                  <w:strike w:val="false"/>
                  <w:dstrike w:val="false"/>
                  <w:color w:val="000000"/>
                  <w:sz w:val="18"/>
                  <w:u w:val="none"/>
                  <w:effect w:val="none"/>
                </w:rPr>
                <w:t>49</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Item 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46">
              <w:r>
                <w:rPr>
                  <w:rStyle w:val="InternetLink"/>
                  <w:rFonts w:ascii="Times New Roman;sans-serif" w:hAnsi="Times New Roman;sans-serif"/>
                  <w:b w:val="false"/>
                  <w:color w:val="0000FF"/>
                  <w:sz w:val="18"/>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46">
              <w:r>
                <w:rPr>
                  <w:rStyle w:val="InternetLink"/>
                  <w:rFonts w:ascii="Times New Roman;sans-serif" w:hAnsi="Times New Roman;sans-serif"/>
                  <w:b w:val="false"/>
                  <w:strike w:val="false"/>
                  <w:dstrike w:val="false"/>
                  <w:color w:val="000000"/>
                  <w:sz w:val="18"/>
                  <w:u w:val="none"/>
                  <w:effect w:val="none"/>
                </w:rPr>
                <w:t>49</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49">
              <w:r>
                <w:rPr>
                  <w:rStyle w:val="InternetLink"/>
                  <w:rFonts w:ascii="Times New Roman;sans-serif" w:hAnsi="Times New Roman;sans-serif"/>
                  <w:b w:val="false"/>
                  <w:color w:val="0000FF"/>
                  <w:sz w:val="18"/>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49">
              <w:r>
                <w:rPr>
                  <w:rStyle w:val="InternetLink"/>
                  <w:rFonts w:ascii="Times New Roman;sans-serif" w:hAnsi="Times New Roman;sans-serif"/>
                  <w:b w:val="false"/>
                  <w:strike w:val="false"/>
                  <w:dstrike w:val="false"/>
                  <w:color w:val="000000"/>
                  <w:sz w:val="18"/>
                  <w:u w:val="none"/>
                  <w:effect w:val="none"/>
                </w:rPr>
                <w:t>50</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52">
              <w:r>
                <w:rPr>
                  <w:rStyle w:val="InternetLink"/>
                  <w:rFonts w:ascii="Times New Roman;sans-serif" w:hAnsi="Times New Roman;sans-serif"/>
                  <w:b w:val="false"/>
                  <w:color w:val="0000FF"/>
                  <w:sz w:val="18"/>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52">
              <w:r>
                <w:rPr>
                  <w:rStyle w:val="InternetLink"/>
                  <w:rFonts w:ascii="Times New Roman;sans-serif" w:hAnsi="Times New Roman;sans-serif"/>
                  <w:b w:val="false"/>
                  <w:strike w:val="false"/>
                  <w:dstrike w:val="false"/>
                  <w:color w:val="000000"/>
                  <w:sz w:val="18"/>
                  <w:u w:val="none"/>
                  <w:effect w:val="none"/>
                </w:rPr>
                <w:t>50</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55">
              <w:r>
                <w:rPr>
                  <w:rStyle w:val="InternetLink"/>
                  <w:rFonts w:ascii="Times New Roman;sans-serif" w:hAnsi="Times New Roman;sans-serif"/>
                  <w:b w:val="false"/>
                  <w:color w:val="0000FF"/>
                  <w:sz w:val="18"/>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55">
              <w:r>
                <w:rPr>
                  <w:rStyle w:val="InternetLink"/>
                  <w:rFonts w:ascii="Times New Roman;sans-serif" w:hAnsi="Times New Roman;sans-serif"/>
                  <w:b w:val="false"/>
                  <w:strike w:val="false"/>
                  <w:dstrike w:val="false"/>
                  <w:color w:val="000000"/>
                  <w:sz w:val="18"/>
                  <w:u w:val="none"/>
                  <w:effect w:val="none"/>
                </w:rPr>
                <w:t>50</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61">
              <w:r>
                <w:rPr>
                  <w:rStyle w:val="InternetLink"/>
                  <w:rFonts w:ascii="Times New Roman;sans-serif" w:hAnsi="Times New Roman;sans-serif"/>
                  <w:b w:val="false"/>
                  <w:color w:val="0000FF"/>
                  <w:sz w:val="18"/>
                  <w:u w:val="single"/>
                </w:rPr>
                <w:t>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61">
              <w:r>
                <w:rPr>
                  <w:rStyle w:val="InternetLink"/>
                  <w:rFonts w:ascii="Times New Roman;sans-serif" w:hAnsi="Times New Roman;sans-serif"/>
                  <w:b w:val="false"/>
                  <w:strike w:val="false"/>
                  <w:dstrike w:val="false"/>
                  <w:color w:val="000000"/>
                  <w:sz w:val="18"/>
                  <w:u w:val="none"/>
                  <w:effect w:val="none"/>
                </w:rPr>
                <w:t>52</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64">
              <w:r>
                <w:rPr>
                  <w:rStyle w:val="InternetLink"/>
                  <w:rFonts w:ascii="Times New Roman;sans-serif" w:hAnsi="Times New Roman;sans-serif"/>
                  <w:b w:val="false"/>
                  <w:color w:val="0000FF"/>
                  <w:sz w:val="18"/>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64">
              <w:r>
                <w:rPr>
                  <w:rStyle w:val="InternetLink"/>
                  <w:rFonts w:ascii="Times New Roman;sans-serif" w:hAnsi="Times New Roman;sans-serif"/>
                  <w:b w:val="false"/>
                  <w:strike w:val="false"/>
                  <w:dstrike w:val="false"/>
                  <w:color w:val="000000"/>
                  <w:sz w:val="18"/>
                  <w:u w:val="none"/>
                  <w:effect w:val="none"/>
                </w:rPr>
                <w:t>52</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67">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67">
              <w:r>
                <w:rPr>
                  <w:rStyle w:val="InternetLink"/>
                  <w:rFonts w:ascii="Times New Roman;sans-serif" w:hAnsi="Times New Roman;sans-serif"/>
                  <w:b w:val="false"/>
                  <w:strike w:val="false"/>
                  <w:dstrike w:val="false"/>
                  <w:color w:val="000000"/>
                  <w:sz w:val="18"/>
                  <w:u w:val="none"/>
                  <w:effect w:val="none"/>
                </w:rPr>
                <w:t>53</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7A.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79">
              <w:r>
                <w:rPr>
                  <w:rStyle w:val="InternetLink"/>
                  <w:rFonts w:ascii="Times New Roman;sans-serif" w:hAnsi="Times New Roman;sans-serif"/>
                  <w:b w:val="false"/>
                  <w:color w:val="0000FF"/>
                  <w:sz w:val="18"/>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79">
              <w:r>
                <w:rPr>
                  <w:rStyle w:val="InternetLink"/>
                  <w:rFonts w:ascii="Times New Roman;sans-serif" w:hAnsi="Times New Roman;sans-serif"/>
                  <w:b w:val="false"/>
                  <w:strike w:val="false"/>
                  <w:dstrike w:val="false"/>
                  <w:color w:val="000000"/>
                  <w:sz w:val="18"/>
                  <w:u w:val="none"/>
                  <w:effect w:val="none"/>
                </w:rPr>
                <w:t>64</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82">
              <w:r>
                <w:rPr>
                  <w:rStyle w:val="InternetLink"/>
                  <w:rFonts w:ascii="Times New Roman;sans-serif" w:hAnsi="Times New Roman;sans-serif"/>
                  <w:b w:val="false"/>
                  <w:color w:val="0000FF"/>
                  <w:sz w:val="18"/>
                  <w:u w:val="single"/>
                </w:rPr>
                <w:t>Consolidated 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82">
              <w:r>
                <w:rPr>
                  <w:rStyle w:val="InternetLink"/>
                  <w:rFonts w:ascii="Times New Roman;sans-serif" w:hAnsi="Times New Roman;sans-serif"/>
                  <w:b w:val="false"/>
                  <w:strike w:val="false"/>
                  <w:dstrike w:val="false"/>
                  <w:color w:val="000000"/>
                  <w:sz w:val="18"/>
                  <w:u w:val="none"/>
                  <w:effect w:val="none"/>
                </w:rPr>
                <w:t>66</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45">
              <w:r>
                <w:rPr>
                  <w:rStyle w:val="InternetLink"/>
                  <w:rFonts w:ascii="Times New Roman;sans-serif" w:hAnsi="Times New Roman;sans-serif"/>
                  <w:b w:val="false"/>
                  <w:color w:val="0000FF"/>
                  <w:sz w:val="18"/>
                  <w:u w:val="single"/>
                </w:rPr>
                <w:t>Changes in and Disagreements With Accountants on Accounting and Financial Disclosure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45">
              <w:r>
                <w:rPr>
                  <w:rStyle w:val="InternetLink"/>
                  <w:rFonts w:ascii="Times New Roman;sans-serif" w:hAnsi="Times New Roman;sans-serif"/>
                  <w:b w:val="false"/>
                  <w:strike w:val="false"/>
                  <w:dstrike w:val="false"/>
                  <w:color w:val="000000"/>
                  <w:sz w:val="18"/>
                  <w:u w:val="none"/>
                  <w:effect w:val="none"/>
                </w:rPr>
                <w:t>95</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48">
              <w:r>
                <w:rPr>
                  <w:rStyle w:val="InternetLink"/>
                  <w:rFonts w:ascii="Times New Roman;sans-serif" w:hAnsi="Times New Roman;sans-serif"/>
                  <w:b w:val="false"/>
                  <w:color w:val="0000FF"/>
                  <w:sz w:val="18"/>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48">
              <w:r>
                <w:rPr>
                  <w:rStyle w:val="InternetLink"/>
                  <w:rFonts w:ascii="Times New Roman;sans-serif" w:hAnsi="Times New Roman;sans-serif"/>
                  <w:b w:val="false"/>
                  <w:strike w:val="false"/>
                  <w:dstrike w:val="false"/>
                  <w:color w:val="000000"/>
                  <w:sz w:val="18"/>
                  <w:u w:val="none"/>
                  <w:effect w:val="none"/>
                </w:rPr>
                <w:t>95</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51">
              <w:r>
                <w:rPr>
                  <w:rStyle w:val="InternetLink"/>
                  <w:rFonts w:ascii="Times New Roman;sans-serif" w:hAnsi="Times New Roman;sans-serif"/>
                  <w:b w:val="false"/>
                  <w:color w:val="0000FF"/>
                  <w:sz w:val="18"/>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51">
              <w:r>
                <w:rPr>
                  <w:rStyle w:val="InternetLink"/>
                  <w:rFonts w:ascii="Times New Roman;sans-serif" w:hAnsi="Times New Roman;sans-serif"/>
                  <w:b w:val="false"/>
                  <w:strike w:val="false"/>
                  <w:dstrike w:val="false"/>
                  <w:color w:val="000000"/>
                  <w:sz w:val="18"/>
                  <w:u w:val="none"/>
                  <w:effect w:val="none"/>
                </w:rPr>
                <w:t>95</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54">
              <w:r>
                <w:rPr>
                  <w:rStyle w:val="InternetLink"/>
                  <w:rFonts w:ascii="Times New Roman;sans-serif" w:hAnsi="Times New Roman;sans-serif"/>
                  <w:b w:val="false"/>
                  <w:color w:val="0000FF"/>
                  <w:sz w:val="18"/>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60">
              <w:r>
                <w:rPr>
                  <w:rStyle w:val="InternetLink"/>
                  <w:rFonts w:ascii="Times New Roman;sans-serif" w:hAnsi="Times New Roman;sans-serif"/>
                  <w:b w:val="false"/>
                  <w:strike w:val="false"/>
                  <w:dstrike w:val="false"/>
                  <w:color w:val="000000"/>
                  <w:sz w:val="18"/>
                  <w:u w:val="none"/>
                  <w:effect w:val="none"/>
                </w:rPr>
                <w:t>96</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60">
              <w:r>
                <w:rPr>
                  <w:rStyle w:val="InternetLink"/>
                  <w:rFonts w:ascii="Times New Roman;sans-serif" w:hAnsi="Times New Roman;sans-serif"/>
                  <w:b w:val="false"/>
                  <w:color w:val="0000FF"/>
                  <w:sz w:val="18"/>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60">
              <w:r>
                <w:rPr>
                  <w:rStyle w:val="InternetLink"/>
                  <w:rFonts w:ascii="Times New Roman;sans-serif" w:hAnsi="Times New Roman;sans-serif"/>
                  <w:b w:val="false"/>
                  <w:strike w:val="false"/>
                  <w:dstrike w:val="false"/>
                  <w:color w:val="000000"/>
                  <w:sz w:val="18"/>
                  <w:u w:val="none"/>
                  <w:effect w:val="none"/>
                </w:rPr>
                <w:t>96</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63">
              <w:r>
                <w:rPr>
                  <w:rStyle w:val="InternetLink"/>
                  <w:rFonts w:ascii="Times New Roman;sans-serif" w:hAnsi="Times New Roman;sans-serif"/>
                  <w:b w:val="false"/>
                  <w:color w:val="0000FF"/>
                  <w:sz w:val="18"/>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63">
              <w:r>
                <w:rPr>
                  <w:rStyle w:val="InternetLink"/>
                  <w:rFonts w:ascii="Times New Roman;sans-serif" w:hAnsi="Times New Roman;sans-serif"/>
                  <w:b w:val="false"/>
                  <w:strike w:val="false"/>
                  <w:dstrike w:val="false"/>
                  <w:color w:val="000000"/>
                  <w:sz w:val="18"/>
                  <w:u w:val="none"/>
                  <w:effect w:val="none"/>
                </w:rPr>
                <w:t>96</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66">
              <w:r>
                <w:rPr>
                  <w:rStyle w:val="InternetLink"/>
                  <w:rFonts w:ascii="Times New Roman;sans-serif" w:hAnsi="Times New Roman;sans-serif"/>
                  <w:b w:val="false"/>
                  <w:color w:val="0000FF"/>
                  <w:sz w:val="18"/>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66">
              <w:r>
                <w:rPr>
                  <w:rStyle w:val="InternetLink"/>
                  <w:rFonts w:ascii="Times New Roman;sans-serif" w:hAnsi="Times New Roman;sans-serif"/>
                  <w:b w:val="false"/>
                  <w:strike w:val="false"/>
                  <w:dstrike w:val="false"/>
                  <w:color w:val="000000"/>
                  <w:sz w:val="18"/>
                  <w:u w:val="none"/>
                  <w:effect w:val="none"/>
                </w:rPr>
                <w:t>96</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69">
              <w:r>
                <w:rPr>
                  <w:rStyle w:val="InternetLink"/>
                  <w:rFonts w:ascii="Times New Roman;sans-serif" w:hAnsi="Times New Roman;sans-serif"/>
                  <w:b w:val="false"/>
                  <w:color w:val="0000FF"/>
                  <w:sz w:val="18"/>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69">
              <w:r>
                <w:rPr>
                  <w:rStyle w:val="InternetLink"/>
                  <w:rFonts w:ascii="Times New Roman;sans-serif" w:hAnsi="Times New Roman;sans-serif"/>
                  <w:b w:val="false"/>
                  <w:strike w:val="false"/>
                  <w:dstrike w:val="false"/>
                  <w:color w:val="000000"/>
                  <w:sz w:val="18"/>
                  <w:u w:val="none"/>
                  <w:effect w:val="none"/>
                </w:rPr>
                <w:t>96</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72">
              <w:r>
                <w:rPr>
                  <w:rStyle w:val="InternetLink"/>
                  <w:rFonts w:ascii="Times New Roman;sans-serif" w:hAnsi="Times New Roman;sans-serif"/>
                  <w:b w:val="false"/>
                  <w:color w:val="0000FF"/>
                  <w:sz w:val="18"/>
                  <w:u w:val="single"/>
                </w:rPr>
                <w:t>Principal Accounting Fees and Services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72">
              <w:r>
                <w:rPr>
                  <w:rStyle w:val="InternetLink"/>
                  <w:rFonts w:ascii="Times New Roman;sans-serif" w:hAnsi="Times New Roman;sans-serif"/>
                  <w:b w:val="false"/>
                  <w:strike w:val="false"/>
                  <w:dstrike w:val="false"/>
                  <w:color w:val="000000"/>
                  <w:sz w:val="18"/>
                  <w:u w:val="none"/>
                  <w:effect w:val="none"/>
                </w:rPr>
                <w:t>96</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PART IV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78">
              <w:r>
                <w:rPr>
                  <w:rStyle w:val="InternetLink"/>
                  <w:rFonts w:ascii="Times New Roman;sans-serif" w:hAnsi="Times New Roman;sans-serif"/>
                  <w:b w:val="false"/>
                  <w:color w:val="0000FF"/>
                  <w:sz w:val="18"/>
                  <w:u w:val="single"/>
                </w:rPr>
                <w:t>Exhibits, Consolidated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78">
              <w:r>
                <w:rPr>
                  <w:rStyle w:val="InternetLink"/>
                  <w:rFonts w:ascii="Times New Roman;sans-serif" w:hAnsi="Times New Roman;sans-serif"/>
                  <w:b w:val="false"/>
                  <w:strike w:val="false"/>
                  <w:dstrike w:val="false"/>
                  <w:color w:val="000000"/>
                  <w:sz w:val="18"/>
                  <w:u w:val="none"/>
                  <w:effect w:val="none"/>
                </w:rPr>
                <w:t>97</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81">
              <w:r>
                <w:rPr>
                  <w:rStyle w:val="InternetLink"/>
                  <w:rFonts w:ascii="Times New Roman;sans-serif" w:hAnsi="Times New Roman;sans-serif"/>
                  <w:b w:val="false"/>
                  <w:color w:val="0000FF"/>
                  <w:sz w:val="18"/>
                  <w:u w:val="single"/>
                </w:rPr>
                <w:t>Form 10-K Summary</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81">
              <w:r>
                <w:rPr>
                  <w:rStyle w:val="InternetLink"/>
                  <w:rFonts w:ascii="Times New Roman;sans-serif" w:hAnsi="Times New Roman;sans-serif"/>
                  <w:b w:val="false"/>
                  <w:strike w:val="false"/>
                  <w:dstrike w:val="false"/>
                  <w:color w:val="000000"/>
                  <w:sz w:val="18"/>
                  <w:u w:val="none"/>
                  <w:effect w:val="none"/>
                </w:rPr>
                <w:t>100</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84">
              <w:r>
                <w:rPr>
                  <w:rStyle w:val="InternetLink"/>
                  <w:rFonts w:ascii="Times New Roman;sans-serif" w:hAnsi="Times New Roman;sans-serif"/>
                  <w:b w:val="false"/>
                  <w:color w:val="0000FF"/>
                  <w:sz w:val="18"/>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84">
              <w:r>
                <w:rPr>
                  <w:rStyle w:val="InternetLink"/>
                  <w:rFonts w:ascii="Times New Roman;sans-serif" w:hAnsi="Times New Roman;sans-serif"/>
                  <w:b w:val="false"/>
                  <w:strike w:val="false"/>
                  <w:dstrike w:val="false"/>
                  <w:color w:val="000000"/>
                  <w:sz w:val="18"/>
                  <w:u w:val="none"/>
                  <w:effect w:val="none"/>
                </w:rPr>
                <w:t>101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(“Annual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in this report include, among other things,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cost, and timing of our product candidate development activities and ongoing and planned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plans and ability to develop and commercialize antibodies;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likelihood that the clinical data generated in any study we performed, are performing, or plan to perform in a non-U.S. jurisdiction will be subsequently accepted by the </w:t>
      </w:r>
      <w:r>
        <w:rPr>
          <w:rFonts w:ascii="Times New Roman;sans-serif" w:hAnsi="Times New Roman;sans-serif"/>
          <w:b w:val="false"/>
          <w:color w:val="231F20"/>
          <w:sz w:val="20"/>
        </w:rPr>
        <w:t>U.S. Food and Drug Administration (“FDA”)</w:t>
      </w:r>
      <w:r>
        <w:rPr>
          <w:color w:val="000000"/>
        </w:rPr>
        <w:t xml:space="preserve"> </w:t>
      </w:r>
      <w:r>
        <w:rPr>
          <w:rFonts w:ascii="Times New Roman;sans-serif" w:hAnsi="Times New Roman;sans-serif"/>
          <w:b w:val="false"/>
          <w:color w:val="000000"/>
          <w:sz w:val="20"/>
        </w:rPr>
        <w:t>and/or by foreign regulatory authorities outside of the jurisdiction where the study was being performed;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potential benefits and advantages of our product candidates and approaches versus those of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timing of and the ability to obtain and maintain regulatory approvals for our product candidates, partnered product candidates and/or product candidates for which we may receive royalties;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any approved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size and growth potential of the markets for any approved product candidates, and our ability to serve those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developments in the U.S. and foreign countries;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political, economic or public health events on our business and the United States (“U.S.”) and global economies;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attract and retain key scientific or management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macro-economic factors, including volatility in equity markets, and fluctuations in interest rates and foreign exchange rates;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obtain funding for our operations on favorable terms or at all, including funding necessary to complete further development and commercialization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find a licensing partner for etokimab;</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timing and ability of our collaborators to develop and commercialize our partnered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use of the net proceeds from our public offerings and other financing transactions;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with the understanding that our actual future results, levels of activity, performance, and events and circumstances may be materially different from what we expect.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indicates otherwise, as used in this Annual Report, the terms “AnaptysBio,” “Anaptys,” “company,” “we,” “us” and “our” refer to AnaptysBio, Inc., a Delaware corporation, and its subsidiaries taken as a whole, unless otherwise noted. AnaptysBio is our common law trademark. This Annual Report contains additional trade names, trademarks, and service marks of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companies, which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are a clinical-stage biotechnology company focused on delivering innovative immunology therapeutics for autoimmune and inflammatory diseases. Our pipeline includes our lead program, rosnilimab, a depleter and agonist targeting PD-1+ T cells, in a Phase 2b trial for the treatment of moderate-to-severe rheumatoid arthritis (“RA”) and a Phase 2 trial for the treatment of moderate-to-severe ulcerative colitis (“UC”). We also have other antibodies in our portfolio, including ANB033, a CD122 antagonist in a Phase 1 trial and ANB101, a BDCA2 modulator, entering a Phase 1 trial. We have also discovered multiple therapeutic antibodies licensed to GlaxoSmithKline, Inc. (“GSK”) in a financial collaboration for immuno-oncology, including a PD-1 antagonist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(dostarlimab-gxly) or “</w:t>
      </w:r>
      <w:r>
        <w:rPr>
          <w:rFonts w:ascii="Times New Roman;sans-serif" w:hAnsi="Times New Roman;sans-serif"/>
          <w:b w:val="false"/>
          <w:i/>
          <w:color w:val="000000"/>
          <w:sz w:val="20"/>
        </w:rPr>
        <w:t>Jemperli</w:t>
      </w:r>
      <w:r>
        <w:rPr>
          <w:color w:val="000000"/>
        </w:rPr>
        <w:t>”</w:t>
      </w:r>
      <w:r>
        <w:rPr>
          <w:rFonts w:ascii="Times New Roman;sans-serif" w:hAnsi="Times New Roman;sans-serif"/>
          <w:b w:val="false"/>
          <w:color w:val="000000"/>
          <w:sz w:val="20"/>
        </w:rPr>
        <w:t>) and a TIM-3 antagonist (cobolimab, GSK4069889). We currently recognize revenue from milestones and royalties achieved under our immuno-oncology collaboration with GSK.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Wholly Owned Product Candidate Pipeline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immune cell modulating antibodies treat inflammatory disorders by down regulating immune responses mediated by multiple immune cell types including T cells. We believe these molecules have potential applicability across a broad range of autoimmune and inflammatory diseases including dermatology, rheumatology, gastroenterology, respiratory, and neurology therapeutic areas.</w:t>
      </w:r>
    </w:p>
    <w:p>
      <w:pPr>
        <w:pStyle w:val="TextBody"/>
        <w:bidi w:val="0"/>
        <w:spacing w:lineRule="auto" w:line="288" w:before="12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Rosnilimab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PD-1, or programmed cell death protein 1, is a co-inhibitory receptor that regulates T cell proliferation, and cytokine secretion. It is expressed preferentially on activated T cells, reducing the potential for off-target activity by rosnilimab. Genetic mutations in the PD-1 pathway are known to be associated with increased susceptibility to human inflammatory diseases which leads us to believe that rosnilimab is applicable to diseases where PD-1 co-inhibitory receptor function may be insufficient to maintain immune homeostasis.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Rosnilimab is an IgG1 antibody that directly targets PD-1+ T cells, resulting in their depletion or agonism, broadly impacting pathogenic drivers of autoimmune and inflammatory diseases. An IgG1 PD-1 agonist acts through three distinct mechanisms; depletion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effector T cells, depletion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Tfh and Tph cells, and agonism of PD-1</w:t>
      </w:r>
      <w:r>
        <w:rPr>
          <w:rFonts w:ascii="Times New Roman;sans-serif" w:hAnsi="Times New Roman;sans-serif"/>
          <w:b w:val="false"/>
          <w:color w:val="000000"/>
          <w:sz w:val="13"/>
        </w:rPr>
        <w:t>int</w:t>
      </w:r>
      <w:r>
        <w:rPr>
          <w:color w:val="000000"/>
        </w:rPr>
        <w:t xml:space="preserve"> </w:t>
      </w:r>
      <w:r>
        <w:rPr>
          <w:rFonts w:ascii="Times New Roman;sans-serif" w:hAnsi="Times New Roman;sans-serif"/>
          <w:b w:val="false"/>
          <w:color w:val="000000"/>
          <w:sz w:val="20"/>
        </w:rPr>
        <w:t>T cells. This drives specific immunological outcomes in both inflamed tissue and the periphery, such as reduction in T cell proliferation, migration, and cytokine secretion, and reduction of plasma cell generation and autoantibody levels. Rosnilimab is designed to enable formation of a tight immune synapse by binding to PD-1 on a membrane-proximal epitope, and simultaneously anchoring to an Fc receptor on an opposing cell, supporting crosslinking and excluding activating phosphatases such as CD45. Rosnilimab also facilitates depletion by bringing effector cells into closer proximity to pathogenically activated PD-1</w:t>
      </w:r>
      <w:r>
        <w:rPr>
          <w:rFonts w:ascii="Times New Roman;sans-serif" w:hAnsi="Times New Roman;sans-serif"/>
          <w:b w:val="false"/>
          <w:color w:val="000000"/>
          <w:sz w:val="13"/>
        </w:rPr>
        <w:t xml:space="preserve">high </w:t>
      </w:r>
      <w:r>
        <w:rPr>
          <w:rFonts w:ascii="Times New Roman;sans-serif" w:hAnsi="Times New Roman;sans-serif"/>
          <w:b w:val="false"/>
          <w:color w:val="000000"/>
          <w:sz w:val="20"/>
        </w:rPr>
        <w:t>T cells.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in</w:t>
      </w:r>
      <w:r>
        <w:rPr>
          <w:color w:val="000000"/>
        </w:rPr>
        <w:t xml:space="preserve"> </w:t>
      </w:r>
      <w:r>
        <w:rPr>
          <w:rFonts w:ascii="Times New Roman;sans-serif" w:hAnsi="Times New Roman;sans-serif"/>
          <w:b w:val="false"/>
          <w:i/>
          <w:color w:val="000000"/>
          <w:sz w:val="20"/>
        </w:rPr>
        <w:t>vitro</w:t>
      </w:r>
      <w:r>
        <w:rPr>
          <w:color w:val="000000"/>
        </w:rPr>
        <w:t xml:space="preserve"> </w:t>
      </w:r>
      <w:r>
        <w:rPr>
          <w:rFonts w:ascii="Times New Roman;sans-serif" w:hAnsi="Times New Roman;sans-serif"/>
          <w:b w:val="false"/>
          <w:color w:val="000000"/>
          <w:sz w:val="20"/>
        </w:rPr>
        <w:t xml:space="preserve">studies, when PD-1+ T cells were cocultured in the presence of NK cells, rosnilimab demonstrated potent depletion of PD-1+ T cells. In separate in </w:t>
      </w:r>
      <w:r>
        <w:rPr>
          <w:rFonts w:ascii="Times New Roman;sans-serif" w:hAnsi="Times New Roman;sans-serif"/>
          <w:b w:val="false"/>
          <w:i/>
          <w:color w:val="000000"/>
          <w:sz w:val="20"/>
        </w:rPr>
        <w:t>vitro</w:t>
      </w:r>
      <w:r>
        <w:rPr>
          <w:color w:val="000000"/>
        </w:rPr>
        <w:t xml:space="preserve"> </w:t>
      </w:r>
      <w:r>
        <w:rPr>
          <w:rFonts w:ascii="Times New Roman;sans-serif" w:hAnsi="Times New Roman;sans-serif"/>
          <w:b w:val="false"/>
          <w:color w:val="000000"/>
          <w:sz w:val="20"/>
        </w:rPr>
        <w:t>studies, in which T cells were stimulated in the presence of only dendritic cells (in the absence of any cells capable of mediating depletion), rosnilimab demonstrated potent agonism properties such as a reduction in PD-1+ T cell proliferation and reduction in secretion of inflammatory cytokines.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Rosnilimab demonstrated a favorable pharmacokinetic (“PK”) profile with an estimated two-week half-life for subcutaneous and IV routes of administration. Full PD-1 receptor occupancy was observed rapidly and was maintained for at least 30 days. Potent and sustained reduction was observed in peripheral PD-1+ T cells for &gt;30 days, including &gt;90% reduction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 cells and a &gt;50% reduction of PD-1+ T cells bringing the overall T cell composition to a less activated state, without meaningfully reducing overall T cell numbers.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2025, we announced top-line data from rosnilimab’s randomized, placebo-controlled, global 424-patient, Phase 2b clinical trial for moderate-to-severe rheumatoid arthritis. Patients were randomized to receive either 100mg of subcutaneous rosnilimab every four weeks (Q4W), 400mg Q4W, 600mg every two weeks (Q2W), or placebo. The trial achieved its primary endpoint of the mean change from baseline in baseline disease activity score -- 28 joints (DAS-28) C-Reactive Protein (CRP) score at Week 12 for all three doses of rosnilimab compared to the placebo.</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Rosnilimab achieved statistical significance in at least one dose and numerical superiority at all doses, including once monthly administration, on key secondary endpoints of ACR20, ACR50 and clinical disease activity index (CDAI) low disease activity (LDA) score at Week 12. Following completion of the Week 14 visit, 69% (or 220 of the 318) rosnilimab-treated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patients who achieved CDAI LDA and continued their assigned treatment in a blinded, all-active treatment period as of the December 10, 2024 data cutoff, appeared to show sustained CDAI LDA, ACR50 and ACR70 responses out to end-of-treatment at Week 28. These Phase 2b data to date have demonstrated a favorable safety and tolerability profile.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Translational blood biomarker data, across all doses in the Phase 2b trial, showed similar immunological impact with robust on-target pharmacological activity in rosnilimab-treated patients that was not observed in patients on placebo. Rosnilimab demonstrated rapid and sustained reduction of approximately 90%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 cells and approximately 50% of PD-1+ T cells, and an increase in total Tregs. Additionally, an approximate 50% reduction in the mean CRP from baseline was observed in rosnilimab-treated patients through the entire trial period that was not observed in patients on placebo.</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conducting a randomized placebo-controlled 132-patient, global Phase 2 trial assessing two dose levels of subcutaneously administered rosnilimab in moderate-to-severe UC. Rosnilimab will be dosed for up to 48 weeks on well-established endpoints including clinical remission on the modified Mayo score (“mMS”), clinical response on the mMS and endoscopic remission. We anticipate reporting top-line data on the primary endpoint at Week 12 in the UC trial in the fourth quarter of 2025.</w:t>
      </w:r>
    </w:p>
    <w:p>
      <w:pPr>
        <w:pStyle w:val="TextBody"/>
        <w:bidi w:val="0"/>
        <w:spacing w:lineRule="auto" w:line="288" w:before="12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ANB033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ANB033 targets CD122, the common beta subunit shared by the IL-15 and IL-2 receptors. IL-15 and IL-2 signaling mediate the proliferation and survival of NK cells and certain CD8 T cell subsets. ANB033 is an antibody designed with an 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the potential to achieve and maintain remission of inflammation through the reduction of disease-causing NK cells and certain CD8 T cell subsets, while sparing regulatory T cells. By preventing the consumption of IL-2 by pathogenic cells that express the low affinity IL-2 receptor, circulating levels of IL-2 may increase, potentially enhancing regulatory T cell numbers that express the high affinity IL-2 receptor in the setting of inflammation. We initiated a Phase 1 clinical trial of ANB033 in October 2024.</w:t>
      </w:r>
    </w:p>
    <w:p>
      <w:pPr>
        <w:pStyle w:val="TextBody"/>
        <w:bidi w:val="0"/>
        <w:spacing w:lineRule="auto" w:line="288" w:before="12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ANB101</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Blood dendritic cell antigen 2 (“BDCA2”) is a molecule specifically expressed on plasmacytoid dendritic cells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 We plan to initiate enrollment for a Phase 1 clinical trial in the first quarter of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Collaborative Programs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GSK Collaboration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Multiple company-discovered antibody programs have been advanced to preclinical and clinical milestones under our collaborations. Our collaborations include an immuno-oncology-focused collaboration with GSK.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Under the GSK Agreement, a Biologics License Application (“BLA”) for our most advanced partnered program, which is a PD-1 antagonist antibody called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in pan-deficient mismatch repair tumors (PdMMRT). In July 2023, the FDA approved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in combination with chemotherapy for the treatment of adult patients with dMMR MSI-H primary advanced or recurrent endometrial cancer. In December 2023, the EMA approved, in the EU,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plus chemotherapy for dMMR/MSI-H primary advanced or recurrent endometrial cancer. In August 2024, the FDA approved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 xml:space="preserve">plus chemotherapy for all adult patients with primary advanced or recurrent endometrial cancer. In January 2025, the EMA approved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plus chemotherapy for this same indication.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For the year ended December 31, 2024, GSK reported $598.0 million sales for </w:t>
      </w:r>
      <w:r>
        <w:rPr>
          <w:rFonts w:ascii="Times New Roman;sans-serif" w:hAnsi="Times New Roman;sans-serif"/>
          <w:b w:val="false"/>
          <w:i/>
          <w:color w:val="000000"/>
          <w:sz w:val="20"/>
        </w:rPr>
        <w:t>Jemperli</w:t>
      </w:r>
      <w:r>
        <w:rPr>
          <w:rFonts w:ascii="Times New Roman;sans-serif" w:hAnsi="Times New Roman;sans-serif"/>
          <w:b w:val="false"/>
          <w:color w:val="000000"/>
          <w:sz w:val="20"/>
        </w:rPr>
        <w:t>, a greater than 200% sales growth when compared to $175.6 million for the year ended December 31,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the collaboration, GSK is developing dostarlimab in combination with another development program from the GSK Agreement, including cobolimab, a 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the first half of 2025.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Vanda Pharmaceuticals Collaboration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2025, we entered into an Exclusive License Agreement (the “License Agreement”) with Vanda Pharmaceuticals Inc.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License Agreement, we will receive an upfront payment of $10.0 million and a $5.0 million payment for existing drug supply. Anaptys is also eligible to receive up to $35.0 million for future regulatory approval and sales milestones in addition to a 10% royalty on net sales.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key information about our wholly owned product candidates:</w:t>
      </w:r>
    </w:p>
    <w:p>
      <w:pPr>
        <w:pStyle w:val="TextBody"/>
        <w:bidi w:val="0"/>
        <w:spacing w:before="120" w:after="283"/>
        <w:ind w:left="0" w:right="0" w:firstLine="630"/>
        <w:jc w:val="center"/>
        <w:rPr/>
      </w:pPr>
      <w:r>
        <w:rPr/>
        <w:drawing>
          <wp:inline distT="0" distB="0" distL="0" distR="0">
            <wp:extent cx="6115050" cy="36766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115050" cy="367665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biotechnology company focused on delivering innovative immunology therapeutics. Our immune cell modulating antibodies modulate key nodes governing the body’s regulation of autoimmunity and inflammation. Dysregulated immune responses may result in abnormal and pathological inflammation in diseases with large and substantially underserved patient populations in the therapeutic areas of dermatology, rheumatology, gastroenterology, respiratory and neurology. The key elements of our strategy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Enabling broad development of our immune cell modulator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Generating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translational and clinical data to characterize the differentiation of our molecules from in-class competitors and, relative to standard of care, treat patient populations most likely to have deeper and/or more durable responses by restoring immune homeostasis.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Facilitating the global commercialization of our product candidates while retaining rights in key therapeutic areas and/or commercial markets to enable us to become a fully integrated discovery, development and commercial organization.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Continuing to leverage our research expertise to generate potentially best-in-class antibodies against high-value immunological targets.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Maximizing return on equity through execution against a multi-year capital and operating plan, including the potential for future royalty revenues from our GSK immuno-oncology collaboration and, where actionable, monetizing our legacy cytokine antagonist programs and enabling further external development and, potentially, commercialization.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Antibody Overview</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Fab Domain. </w:t>
      </w:r>
      <w:r>
        <w:rPr>
          <w:rFonts w:ascii="Times New Roman;sans-serif" w:hAnsi="Times New Roman;sans-serif"/>
          <w:b w:val="false"/>
          <w:color w:val="000000"/>
          <w:sz w:val="20"/>
        </w:rPr>
        <w:t>Due to the relatively large size and complex nature of the antibody Fab domain, antibodies generally bind with high specificity to the desired therapeutic target and tend to exhibit less off-target binding to unrelated proteins, which lowers the risk of unintended biological side effects such as toxicity. Because target proteins are typically larger than antibody Fab domains, antibodies can be generated against a variety of specific binding epitopes on a given single protein, which can alter the functional activity of the protein. For example, antibodies binding to unique epitopes on a single target protein can act as antagonists or agonists of the natural target protein function.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Fc Domain.</w:t>
      </w:r>
      <w:r>
        <w:rPr>
          <w:color w:val="000000"/>
        </w:rPr>
        <w:t xml:space="preserve"> </w:t>
      </w:r>
      <w:r>
        <w:rPr>
          <w:rFonts w:ascii="Times New Roman;sans-serif" w:hAnsi="Times New Roman;sans-serif"/>
          <w:b w:val="false"/>
          <w:color w:val="000000"/>
          <w:sz w:val="20"/>
        </w:rPr>
        <w:t>The Fc domain of an antibody is the tail region that interacts with cell surface receptors called Fc receptors and some proteins of the complement system. In humans, there are five Fc domains referred to as isotypes (IgA, IgD, IgM, IgG, IgE) and numerous Fc receptors expressed on specialized immune cells. Many therapeutic antibodies are subtypes of the IgG isotype and are chosen specifically to limit or induce immune system activity for therapeutic purposes. Engagement of Fc domains by specific Fc receptors can modulate biological activity, for example, by clustering the target protein on the cell surface in an immune synapse, leading to modulation of the target protein activity and hence altering the function of the cell expressing the target protein. Specific Fc domain and Fc receptor interactions may also trigger killing of a cell, often referred to as “effector function” of the antibody, via cytotoxic mechanisms depending on the cell type bearing the Fc receptor. In some therapeutic settings, mutations can be made to the Fc domain to weaken or entirely abrogate Fc receptor interactions. In creating the most efficacious therapeutic antibody, an appropriate Fc domain is often utilized to avoid or induce immune system activity that contributes to its broader mechanism of action. We believe that therapeutic antibodies can be significantly de-risked preclinically for specificity, toxicology, pharmacokinetics, and modulation of immune system activity, which is not generally true for small molecule drugs.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Pharmacokinetics and Dosing Frequency</w:t>
      </w:r>
      <w:r>
        <w:rPr>
          <w:rFonts w:ascii="Times New Roman;sans-serif" w:hAnsi="Times New Roman;sans-serif"/>
          <w:b w:val="false"/>
          <w:color w:val="000000"/>
          <w:sz w:val="20"/>
        </w:rPr>
        <w:t>. As complex proteins, antibodies are metabolized and distributed differently than small molecules. Full length antibodies tend to exhibit serum half-lives of seven to 24 days in humans, leading to bi-weekly or monthly dosing as typical practice for therapeutic antibodies.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Potency and Dose Quantities. </w:t>
      </w:r>
      <w:r>
        <w:rPr>
          <w:rFonts w:ascii="Times New Roman;sans-serif" w:hAnsi="Times New Roman;sans-serif"/>
          <w:b w:val="false"/>
          <w:color w:val="000000"/>
          <w:sz w:val="20"/>
        </w:rPr>
        <w:t>Antibodies are typically highly potent in binding affinity to their desired target, with binding dissociation constants in the low nanomolar to picomolar range. Hence, antibodies tend to be dosed at low amounts (less than 1 gram quantities per course of therapy).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approach to antibody design focuses on discovering and optimizing therapeutic antibodies tailored to modulate immune function. We use a variety of technologies to optimize the Fab domain of an antibody in ways that we believe both create a therapeutic antibody with highly potent functional activity and mitigate potential manufacturing liabilities.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also optimize the Fc domain of the antibody, when needed, to tailor it for specific activity such as reducing Fc receptor interactions or optimizing Fc receptor interactions, in combination with the Fab domain of the antibody, to specifically modulate immune cell function, engage effector function that kills specific targeted immune cells, or leverage a combination of both activities. We further optimize the overall antibody through humanization and removal of liabilities that could potentially affect the structure, stability, pharmacology, manufacturability or immunogenicity of the antibody.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Optimized antibodies are tested in an extensive suite of immune cell assays, using engineered cell lines, and more relevantly, primary human immune cells from healthy and diseased individuals that we believe most accurately recapitulate the conditions in which the antibody will need to have optimal activity in patients.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approach to antibody design allows us to effectively tailor antibody discovery to achieve a unique therapeutic benefit.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Collaborations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GlaxoSmithKline</w:t>
      </w:r>
    </w:p>
    <w:p>
      <w:pPr>
        <w:pStyle w:val="TextBody"/>
        <w:bidi w:val="0"/>
        <w:spacing w:lineRule="auto" w:line="268" w:before="120" w:after="283"/>
        <w:ind w:left="0" w:right="0" w:firstLine="540"/>
        <w:jc w:val="left"/>
        <w:rPr/>
      </w:pPr>
      <w:r>
        <w:rPr>
          <w:rFonts w:ascii="Times New Roman;sans-serif" w:hAnsi="Times New Roman;sans-serif"/>
          <w:b w:val="false"/>
          <w:color w:val="000000"/>
          <w:sz w:val="20"/>
        </w:rPr>
        <w:t xml:space="preserve">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(dostarlimab) as a monotherapy for various solid tumor indications. In addition, GSK is developing dostarlimab in combination with additional therapies under the collaboration, including with another development program from the GSK Agreement: cobolimab, a TIM-3 antibody, in 2L NSCLC. In October 2023, Amendment No. 5 to the GSK Agreement (the “GSK Amendment No. 5”) was agreed by both parties to terminate the LAG-3 antagonist antibody development program under the GSK Agreement. In accordance with the GSK Agreement and the GSK Amendment No. 5, we have regained full global rights to the LAG-3 antagonist antibody development program.</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For each remaining development program under the GSK Agreement, we are eligible to receive milestone payments if certain preclinical and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No.3, we were granted increased royalties upon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In October 2021, we signed a royalty monetization agreement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 xml:space="preserve">Royalty Monetization Agreement”) with Sagard Healthcare Royalty Partners, LP (“Sagard”). Under the terms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we received $250.0 million in exchange for royalties and milestones payable to us under our GSK collaboration on annual global net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We retained the rights to a $75.0 million sales milestone when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annual Net Sales exceed $1 billion.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In May 2024, we entered into an amendment 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Amendment No. 1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under which we sold additional receivables to Sagard in exchange for $50.0 million.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includes all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sales, including any product containing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whether or not such product constitutes a combination product, and the threshold amounts of aggregate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 xml:space="preserve">royalties and milestones to be received by Sagard under the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 xml:space="preserve">Amendment is either $600.0 million if received by the end of March 31, 2031, or $675.0 million if received thereafter. Once either of these thresholds are met,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will expire, resulting in us regaining all subsequent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royalties and milestones. As of January 31, 2025, Sagard has received a total of $88.8 million in royalties and milestones. For more information see Note 5 — Sale of Future Royalties in the accompanying notes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is critical to our business and we strive to protect it, including by obtaining and maintaining patent protection in the United States and internationally for product candidates, novel biological discoveries, epitopes, new therapeutic approaches and potential indications, and other inventions that are important to our business. In total, our patent portfolio, including patents co-owned with GSK, patents licensed from Centessa Pharmaceuticals (UK) Ltd., and patents to certain antibody discovery technology consisted of approximately 100 issued patents and 134 pending patent applications as of December 31, 2024.</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product candidates, generally we initially pursue patent protection covering compositions of matter including antibody sequences, methods of use, and methods of production. Throughout the development of our product candidates, we seek to identify additional means of obtaining patent protection that would potentially enhance commercial success.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portfolios for our internal programs are outlined below:</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Rosnilimab</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17 patents and pending patent applications in various countries directed to the antibody sequence of rosnilimab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June 2040.</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ANB033</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one pending U.S. provisional patent application and one pending international (PCT) patent application directed to the antibody sequence of ANB033 and its variants, methods of use and related matters. We intend to prosecute these patent applications, file additional patent applications claiming priority to these patent applications, and pursue patent issuance, in key commercial markets where significant product sales may occur. Patents that may issue claiming priority to these patent applications could provide protection for aspects of this product candidate until September 2045.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ANB101</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rights to 14 pending patent applications in various countries directed to the antibody sequence of ANB101 and its variants, methods of use and related matters. We intend to prosecute the pending applications, and/or other patent applications claiming priority thereto, and pursue patent issuance and protection in key commercial markets where significant product sales may occur. Patents that may issue from or claim priority to the pending applications could provide protection for aspects of these product candidates until August 2040.</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ANB032</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28 patent applications in various countries, including one international (PCT) patent application, directed to the antibody sequence of ANB032 and its variants, methods of use and related matters. We intend to prosecute the pending patent applications, and/or other patent applications claiming priority thereto, and pursue patent issuance and protection in key commercial markets where significant product sales may occur. Patents that may issue from or claim priority to our pending applications could provide protection for aspects of this product candidate until May 2044.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Dostarlimab (GSK4057190)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or co-owned 24 patents and patent applications in various countries directed to the antibody sequence of GSK4057190 (dostarlimab), a PD-1 antagonist,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until June 2038.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Cobolimab (GSK4069889)</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or co-owned 26 patents and patent applications in various countries directed to the antibody sequence of GSK4069889 (cobolimab), a TIM-3 antagonist,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November 2037.</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Imsidolimab</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44 patents and patent applications in various countries directed to the antibody sequence of imsidolimab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May 2042.</w:t>
      </w:r>
    </w:p>
    <w:p>
      <w:pPr>
        <w:pStyle w:val="TextBody"/>
        <w:bidi w:val="0"/>
        <w:spacing w:lineRule="auto" w:line="288" w:before="240" w:after="283"/>
        <w:ind w:left="0" w:right="0" w:firstLine="630"/>
        <w:jc w:val="left"/>
        <w:rPr>
          <w:rFonts w:ascii="Times New Roman;sans-serif" w:hAnsi="Times New Roman;sans-serif"/>
          <w:b/>
          <w:color w:val="000000"/>
          <w:sz w:val="20"/>
        </w:rPr>
      </w:pPr>
      <w:r>
        <w:rPr>
          <w:rFonts w:ascii="Times New Roman;sans-serif" w:hAnsi="Times New Roman;sans-serif"/>
          <w:b/>
          <w:color w:val="000000"/>
          <w:sz w:val="20"/>
        </w:rPr>
        <w:t>Etokimab</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owned 19 patents and patent applications in various countries directed to the antibody sequence of etokimab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January 2035.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Intellectual Property Matters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(“PTA”) under certain circumstances to compensate for delays in obtaining the patent from the U.S. Patent and Trademark Office (“USPTO”). In some instances, such a PTA may result in a U.S. patent term extending beyond 20 years from the earliest date of filing a non-provisional patent application related to the U.S. patent. In addition,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relating to our research and development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our policy to require our employees, consultants, outside scientific collaborators, sponsored researchers and other advisors to execute confidentiality agreements upon the commencement of employment or consulting relationships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must manufacture our product candidates for clinical trial use in compliance with current good manufacturing practices (“cGMP”). The cGMP regulations include requirements relating to organization of personnel, buildings and facilities, equipment, control of materials,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global regulatory requirements before any product is approved and we can manufacture commercial products. Our third party manufacturers will be subject to periodic regulatory inspections of facilities by the FDA and other authorities, including procedures and operations used in the testing and manufacture of our products to assess compliance with applicable regulations.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Our internal manufacturing capabilities include non-cGMP antibody and reagent production using small scale quantities for characterization and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preclinical assessment of product candidates. We do not have and we do not currently plan to acquire or develop the facilities or capabilities to manufacture our product candidates for use in human clinical trials.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 party manufacturers to generate cGMP compliant cell lines and will rely on them to produce cGMP drug substance and drug product required for our clinical trials, and we expect to continue to rely on third parties to manufacture clinical trial drug supplies for the foreseeable future. We also contract with additional third parties for the testing, labeling, packaging, storage and distribution of investigational drug products. We have personnel with significant technical, manufacturing, analytical, quality, including cGMP, and project management experience to oversee our third party manufacturers and to manage manufacturing and quality data and information for regulatory compliance purposes. While our contract manufacturers have not yet produced commercially-approved cGMP batches of our product candidates, they have previously manufactured products for other companies in compliance with cGMP and have been previously inspected by regulatory authorities for compliance with cGMP standards.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Third party manufacturers often encounter difficulties involving production yields, quality control and quality assurance, as well as shortages of qualified personnel.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 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Specifically, there are several companies developing or marketing treatments that may be approved for the same indications and/or diseases as our product candidates, including major pharmaceutical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PD-1 agonist antibody program, our competitors include other PD-1 agonist antibodies GS-0151 (Gilead) in Phase 1b development for the treatment of rheumatoid arthritis, and a PD-1 agonist antibody (Boehringer Ingelheim)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Omvoh; Eli Lilly, Tremfya; Johnson and Johnson, and Skyrizi; AbbVie) and S1P inhibitors (Zeposia; Bristol Myers Squibb and Velsipity; Pfizer) and janus kinase inhibitors (Rinvoq; AbbVie, and Xeljanz; Pfizer) as well as monoclonal antibodies targeting anti-TL1A (PRA023; Merck, RVT-3101; Roche and duvakitug; Teva/Sanofi) in Phase 2 and 3 development.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anti-CD122 antagonist antibody program, our clinical competitors include other anti-CD122 antagonist antibodies, auremolimab (Incyte), in Phase 1 development for the treatment of vitiligo and FB-102 (Forte Bioscience) in Phase 1b development for the treatment of celiac disease, and three anti-IL-15 monoclonal antibodies, AMG 714 (Amgen), currently in Phase 2 development for the treatment of celiac disease, CALY-002 (Novartis), currently in Phase 1b development for the treatment of celiac disease and eosinophilic esophagitis, and TEV-‘408 (Teva), currently in Phase 1b development for the treatment of celiac disease and vitiligo.</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anti-BDCA2 program, our competitors include another anti-BDCA2 antibody, litifilimab (Biogen) in Phase 3 development for SLE and CLE, and an anti-ILT7 antibody, daxdilimab (Amgen) in Phase 2 development for dermatomyositis or anti-synthetase inflammatory myositis, and discoid lupus erythematosus.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 and Product Approval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FDA approval process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pharmaceutical products are subject to extensive regulation by the FDA. The Federal Food, Drug, and Cosmetic Act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(“NDAs”). Biological products are approved for marketing under provisions of the Public Health Service Act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pStyle w:val="TextBody"/>
        <w:bidi w:val="0"/>
        <w:spacing w:lineRule="auto" w:line="26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Biological product development for a new product or certain changes to an approved product in the United States typically involves preclinical laboratory and animal tests, the submission to the FDA of an investigational new drug application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qualified investigator. Clinical trials must be conducted: (i) in compliance with federal regulations; (ii) in compliance with good clinical practices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(“IRB”) for approval. An IRB may also require the clinical trial at the site to be halted, either temporarily or permanently, for failure to comply with the IRB’s requirements, or may impose other conditions.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clinical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clinical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clinical trial may be sufficient in rare instances, including (i) where the clinical trial is a large multicenter clinical trial demonstrating internal consistency and a statistically persuasive finding of a clinically meaningful effect on mortality, irreversible morbidity or prevention of a disease with a potentially serious outcome and confirmation of the result in a second clinical trial would be practically or ethically impossible or (ii) when in conjunction with other confirmatory evidence.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filed, the FDA begins an in-depth review. The FDA has agreed to certain performance goals in the review of BLAs. Most such applications for standard review biologic products are reviewed within 10 months of the date the BLA is filed with the FDA; most applications for priority review biologics are reviewed within 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is satisfactory and the BLA contains data that provide substantial evidence that the biologic is safe, pure, potent and effective in the indication studied.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risk evaluation and mitigation strategy (“REMS”) to help ensure that the benefits of the biologic outweigh the potential risks. REMS can include medication guides, communication plans for health 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Foreign clinical studies to support an IND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investigator’s qualifications;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description of the research facilities;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detailed summary of the protocol and study results and, if requested, case records or additional background data;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description of the drug substance and drug product, including the components, formulation, specifications, and, if available, the bioavailability of the drug product;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information showing that the study is adequate and well controlled;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name and address of the independent ethics committee that reviewed the study and a statement that the independent ethics committee meets the required definition;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summary of the independent ethics committee’s decision to approve or modify and approve the study, or to provide a favorable opinion;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description of how informed consent was obtained;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description of what incentives, if any, were provided to subjects to participate;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description of how the sponsors monitored the study and ensured that the study was consistent with the protocol;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description of how investigators were trained to comply with GCP and to conduct the study in accordance with the study protocol;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statement on whether written commitments by investigators to comply with GCP and the protocol were obtained.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Disclosure of clinical trial information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clinical trials can be delayed in certain circumstances for up to two years after the date of completion of the clinical trial. Competitors may use this publicly available information to gain knowledge regarding the progress of development programs.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Pediatric information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Under the Pediatric Research Equity Act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the PREA does not apply to any biological product for an indication for which Orphan Drug Designation has been granted.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Best Pharmaceuticals for Children Act (“BPCA”) provides sponsors of NDAs with an additional six-month period of market exclusivity for all unexpired patent or non-patent exclusivity on all forms of the drug containing the active moiety if the sponsor submits results of pediatric studies specifically requested by the FDA under BPCA within required timeframes. The BPCA provides sponsors of BLAs an additional six-month extension for all unexpired non-patent market exclusivity on all forms of the biological containing the active moiety pursuant to the BPCA if the conditions under the BPCA are met.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Additional controls for biologics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Patent term restoration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 from the date of marketing approval.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or biologic for which an NDA or BLA has not been submitted.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Biosimilars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Biologics Price Competition and Innovation Act of 2009 (“BPCIA”) created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the U.S. Department of Health and Human Services (“HHS”)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The first biosimilar was approved by the FDA in 2015, and the first interchangeable product was approved in 2021.</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Post-approval requirements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Biologics may be marketed only for the approved indications and in accordance with the provisions of the approved labeling. Changes to some of the conditions established in an approved application, including changes in indications, labeling, or manufacturing processes or facilities, may require a submission to and approval by the FDA before the change can be implemented. A BLA supplement for a new indication typically requires clinical data similar to that in the original application and similar procedures and actions in reviewing BLA or supplements as in reviewing BLAs.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 reporting and submission of periodic reports are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In addition, biological product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U.S. health care laws and compliance requirements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our activities are potentially subject to regulation by various federal, state and local authorities in addition to the FDA, including but not limited to, the Centers for Medicare and Medicaid Services (“CMS”), other divisions of the HHS (such as the Office of Inspector General), the U.S. Department of Justice (“DOJ”), and individual U.S. Attorney offices within the DOJ, and state and local governments. For example, sales, marketing and scientific/educational grant programs may have to comply with the anti-fraud and abuse provisions of the Social Security Act, anti-kickback statutes, false claims laws, the privacy and security provisions of the Health Insurance Portability and Accountability Act (“HIPAA”), and similar state laws, each as amended, as applicable.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 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intent standard under the Anti-Kickback Statute was amended by the Patient Protection and Affordable Care Act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Federal false claims and false statement laws, including the federal False Claims Act, prohibit, among other things, any person or entity from knowingly presenting, or causing to be presented, a false or fraudulent claim for payment to, or approval by, the federal health 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 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 care benefit program, including private third party payors, willfully obstructing a criminal investigation of a health care offense, and knowingly and willfully falsifying, concealing or covering up by trick, scheme or device, a material fact or making any materially false, fictitious or fraudulent statement in connection with the delivery of or payment for health care benefits, items or services. Like the Anti-Kickback Statute, the ACA amended the intent standard for certain health care fraud statutes under HIPAA such that a person or entity no longer needs to have actual knowledge of the statute or specific intent to violate it in order to have committed a violation.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data privacy and security regulations by both the federal government and the states in which we conduct our business. HIPAA, as amended by the Health Information Technology for Economic and Clinical Health Act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 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operations are found to be in violation of any of the federal and state health 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Coverage, pricing and reimbursement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 party payors include federal and state health care programs, private managed care providers, health insurers and other organizations. The process for determining whether a third party payor will provide coverage for a product may be separate from the process for setting the price of a product or for establishing the reimbursement rate that such a payor will pay for the product. Third party payors may limit coverage to specific products on an approved list, also known as a formulary, which might not include all of the FDA-approved products for a particular indication. Third 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 party reimbursement may not be available to enable us to maintain price levels sufficient to realize an appropriate return on our investment in product development.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marketability of any product candidates for which we receive regulatory approval for commercial sale may suffer if the government and third party payors fail to provide adequate coverage and reimbursement. In addition, emphasis on managed care in the United States has increased and we expect will continue to increase the pressure on health care pricing. Coverage policies and third 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Healthcare reform</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Healthcare reform initiatives culminated in the enactment of the Inflation Reduction Act (“IRA”), which, among other things, allows the HHS to negotiate the selling price of certain drugs and biologics that CMS reimburses under Medicare Part B and Part D, although only high-expenditure single-source drugs that have been approved for at least 7 years (11 years for biologics) can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Negotiations for Medicare Part D products begin in 2024 with the negotiated price taking effect in 2026, and negotiations for Medicare Part B products begin in 2026 with the negotiated price taking effect in 2028. In August 2023, HHS announced the ten Medicare Part D drugs and biologics that it selected for negotiations, and by October 1, 2023, each manufacturer of the selected drugs signed a manufacturer agreement to participate in the negotiations. HHS announced the negotiated maximum fair prices on August 15, 2024, and this price cap, which cannot exceed a statutory ceiling price, will come into effect on January 1, 2026. Beginning in January 2023 for Medicare Part B and October 2022 for Medicare Part D, the IRA will also penalize drug manufacturers that increase prices of Medicare Part B and Part D drugs at a rate greater than the rate of inflation and in November 2024, CMS finalized regulations pertaining to these inflation rebates. The IRA permits the Secretary of HHS to implement many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began taking effect progressively starting in 2023, although they may be subject to legal challenges. For example, the provisions related to the negotiation of selling prices of high-expenditure single-source drugs and biologics have been challenged in multiple lawsuits. Thus, while it is unclear how the IRA will be implemented, it will likely have a significant impact on the pharmaceutical industry and the pricing of our products and product candidates. It is unclear to what extent other statutory, regulatory, and administrative initiatives will be enacted and implemented in the future.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additional state and federal healthcare reform measures will be adopted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Foreign Corrupt Practices Act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Additional regulation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Europe / rest of world government regulation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(“UK”) and countries in the EU, for example, a Clinical Trial Authorisation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To obtain regulatory approval of an investigational drug or biological product under EU and UK regulatory systems, we must submit a marketing authorization application. The application used to file the BLA in the United States is similar to that required in the EU and the UK, with the exception of, among other things, country-specific document requirements. For other countries outside of the EU and the UK,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Employees and Human Capital Resources</w:t>
      </w:r>
    </w:p>
    <w:p>
      <w:pPr>
        <w:pStyle w:val="TextBody"/>
        <w:bidi w:val="0"/>
        <w:spacing w:lineRule="auto" w:line="288" w:before="6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136 employees. Of these employees, 102 were primarily engaged in research and development activities and 40 held a doctorate degree such as an M.D., Ph.D., or PharmD. None of our employees are represented by a labor union or covered by collective bargaining agreements. We have never experienced a work stoppage and believe that we have good employee relations.</w:t>
      </w:r>
    </w:p>
    <w:p>
      <w:pPr>
        <w:pStyle w:val="TextBody"/>
        <w:bidi w:val="0"/>
        <w:spacing w:lineRule="auto" w:line="288" w:before="6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view our diverse employee population and our culture as key to our success. Our company culture prioritizes learning, supports growth and empowers us to reach new heights. We recruit employees with the skills and training relevant to succeed and thrive in their functional responsibilities. We assess the likelihood that a particular candidate will contribute to the Company’s overall goals, and beyond their specifically assigned tasks. Depending on the position, our recruitment reach can be local as well as national. We provide competitive compensation and benefits that are tailored specifically to the needs and requests of our employees.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report.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file Annual Reports on Form 10-K, Quarterly Reports on Form 10-Q, Current Reports on Form 8-K and other information with the Securities and Exchange Commission (“SEC”). Our filings with the SEC are available free of charge on the SEC’s website at </w:t>
      </w:r>
      <w:r>
        <w:rPr>
          <w:rFonts w:ascii="Times New Roman;sans-serif" w:hAnsi="Times New Roman;sans-serif"/>
          <w:b w:val="false"/>
          <w:i/>
          <w:color w:val="000000"/>
          <w:sz w:val="20"/>
        </w:rPr>
        <w:t>www.sec.gov</w:t>
      </w:r>
      <w:r>
        <w:rPr>
          <w:color w:val="000000"/>
        </w:rPr>
        <w:t xml:space="preserve"> </w:t>
      </w:r>
      <w:r>
        <w:rPr>
          <w:rFonts w:ascii="Times New Roman;sans-serif" w:hAnsi="Times New Roman;sans-serif"/>
          <w:b w:val="false"/>
          <w:color w:val="000000"/>
          <w:sz w:val="20"/>
        </w:rPr>
        <w:t>and on our website under the “Investors” tab as soon as reasonably practicable after we electronically file such material with, or furnish it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pStyle w:val="TextBody"/>
        <w:bidi w:val="0"/>
        <w:spacing w:lineRule="auto" w:line="288" w:before="240" w:after="283"/>
        <w:ind w:left="0" w:right="0" w:firstLine="630"/>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 of Risk Factors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may not be successful in our efforts to expand our pipeline of product candidates and develop marketable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are currently in Phase 2 clinical development of rosnilimab, and have no history of commercializing biotechnology products, which may make it difficult to evaluate the prospects for our future viability.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manufacture of biologics is complex, and our third party manufacturers may encounter difficulties in production. If any of our third 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limited operating revenue and a history of operational losses and may not achieve or sustain profitability.</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no products approved for commercial sale, and to date we have not generated any revenue or profit from sales of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may not succeed in establishing and maintaining additional development and commercialization collaborations, which could adversely affect our ability to develop and commercialize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If we are unable to obtain or protect intellectual property rights in the U.S. and throughout the world, we may not be able to compete effectively in our market.</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must attract and retain highly skilled employees in order to succeed.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market price of our stock has been and may continue to be volatile,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Discovery and Development of Our Product Candidates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in February 2025 we reported interim positive results for rosnilimab’s Phase 2b clinical trial in rheumatoid arthritis. However, the results we have received to date may not be predictive of the full, complete clinical trial results.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be positive. For example, even though we showed interim positive data for rosnilimab in our Phase 2b clinical trial in rheumatoid arthritis, data from rosnilimab’s ongoing Phase 2 clinical trial in ulcerative colitis may not be positive.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our other ongoing or future clinical trials of any of our product candidates, including rosnilimab, ANB033 or ANB101, are unsuccessful, whether for one of the reasons mentioned above or otherwise, our product candidates may be delayed in development or fail entirely, which would have a material adverse impact on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current product candidates, and any other product candidates we may develop in the future, will depend on many factors, including the following: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obtaining regulatory permission to initiate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successful enrollment of patients in, and the completion of, our planned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receiving marketing approvals from applicable regulatory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establishing commercial manufacturing capabilities and/or making arrangements with third party manufacturers;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obtaining and maintaining patent and trade secret protection and non-patent exclusivity for our product candidates and their components;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enforcing and defending intellectual property rights and claims;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achieving desirable therapeutic properties for our product candidates’ intended indications;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launching commercial sales of our product candidates, if and when approved, whether alone or in collaboration with third parties;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acceptance of our product candidates, if and when approved, by patients, the medical community and third party payors;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effectively competing with other therapies; and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maintaining an acceptable safety profile of our product candidates through clinical trials and following regulatory approval.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achieve one or more of these factors in a timely manner or at all, we could experience significant delays or an inability to successfully commercialize our product candidates, which would harm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imposition of a clinical hold for safety reasons or following an inspection of clinical trial operations or site by the FDA or other regulatory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manufacturing challenges;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insufficient supply or quality of product candidates or other materials necessary to conduct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non-clinical or clinical sites becoming unavailable due to political, economic, or public health events;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clinical sites electing to terminate their participation in one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inability or unwillingness of patients or medical investigators to follow clinical trial protocols;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required clinical trial administrative actions;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slower than anticipated patient enrollment;</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changing standards of care;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safety concerns;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availability or prevalence of use of a comparative drug or required prior therapy;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clinical outcomes or financial constraints.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experience any of the issues described above, or other similar or related issues, we or our collaborators may:</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be delayed in obtaining marketing approval for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not obtain marketing approval at all;</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marketing approval in some countries and not in others;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 including boxed warnings;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be subject to additional post-marketing testing requirements;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have the product removed from the market after obtaining marketing approval.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on our ability to conduct clinical trials, including full or partial clinical holds on ongoing or planned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on the products, manufacturers or manufacturing process;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warning or untitled letters;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civil and criminal penalties;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injunctions;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suspension or withdrawal of regulatory approvals;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product seizures, detentions or import bans;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voluntary or mandatory product recalls and publicity requirements;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imposition of restrictions on operations, including costly new manufacturing requirements;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refusal to approve pending BLAs or supplements to approved BLAs.</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event or penalty described above may inhibit our ability, alone or with our collaborators, to commercialize our product candidates and generate revenue.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not be successful in our efforts to expand our pipeline of product candidates and develop marketable products.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are currently in Phase 2 clinical development of rosnilimab, and have no history of commercializing biotechnology products, which may make it difficult to evaluate the prospects for our future viability.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to date have been largely limited to financing and staffing our company, developing our technology, and developing our wholly 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 party clinical investigators, CROs, consultants or collaborators. Relying on third party clinical investigators, third party manufacturing, CROs or collaborators may result in delays that are outside of our control.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pStyle w:val="TextBody"/>
        <w:bidi w:val="0"/>
        <w:spacing w:lineRule="auto" w:line="283" w:before="120" w:after="283"/>
        <w:ind w:left="0" w:right="0" w:hanging="450"/>
        <w:jc w:val="left"/>
        <w:rPr/>
      </w:pPr>
      <w:r>
        <w:rPr>
          <w:color w:val="000000"/>
        </w:rPr>
        <w:t>•</w:t>
      </w:r>
      <w:r>
        <w:rPr>
          <w:rFonts w:ascii="Times New Roman;sans-serif" w:hAnsi="Times New Roman;sans-serif"/>
          <w:b w:val="false"/>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3" w:before="120" w:after="283"/>
        <w:ind w:left="0" w:right="0" w:hanging="450"/>
        <w:jc w:val="left"/>
        <w:rPr/>
      </w:pPr>
      <w:r>
        <w:rPr>
          <w:color w:val="000000"/>
        </w:rPr>
        <w:t>•</w:t>
      </w:r>
      <w:r>
        <w:rPr>
          <w:rFonts w:ascii="Times New Roman;sans-serif" w:hAnsi="Times New Roman;sans-serif"/>
          <w:b w:val="false"/>
          <w:color w:val="000000"/>
          <w:sz w:val="20"/>
        </w:rPr>
        <w:t>a suspension or termination of a clinical trial once commenced;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conditions imposed by the FDA or foreign regulatory authorities regarding the number, scope or design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in enrolling research subjects in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high drop-out rates of research subjects;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inadequate supply or quality of clinical trial materials or other supplies necessary for the conduct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greater than anticipated clinical trial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poor effectiveness of our product candidates during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failure of our third 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serious and unexpected, or otherwise unacceptable, drug-related side effects experienced by participants in our planned clinical trials or by individuals using drugs similar to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varying interpretations of data by the FDA and foreign regulatory authorities.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Consequently, any predictions you make about our future success or viability based on our operating history may not be as accurate as they could be if we had an established track record in conducting clinical trials or commercializing products.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PD-1 agonist antibody program, our competitors include other PD-1 agonist antibodies GS-0151 (Gilead) in Phase 1b development for the treatment of rheumatoid arthritis, and a PD-1 agonist antibody (Boehringer Ingelheim)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Omvoh; Eli Lilly, Tremfya; Johnson and Johnson, and Skyrizi; AbbVie) and S1P inhibitors (Zeposia; Bristol Myers Squibb and Velsipity; Pfizer) and janus kinase inhibitors (Rinvoq; AbbVie, and Xeljanz; Pfizer) as well as monoclonal antibodies targeting anti-TL1A (PRA023; Merck, RVT-3101; Roche and duvakitug; Teva/Sanofi) in Phase 2 and 3 development.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anti-CD122 antagonist antibody program, our clinical competitors include other anti-CD122 antagonist antibodies, auremolimab (Incyte), in Phase 1 development for the treatment of vitiligo and FB-102 (Forte Bioscience) in Phase 1b development for the treatment of celiac disease, and three anti-IL-15 monoclonal antibodies, AMG 714 (Amgen), currently in Phase 2 development for the treatment of celiac disease, CALY-002 (Novartis), currently in Phase 1b development for the treatment of celiac disease and eosinophilic esophagitis, and TEV-‘408 (Teva), currently in Phase 1b development for the treatment of celiac disease and vitiligo.</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anti-BDCA2 program, our competitors include another anti-BDCA2 antibody, litifilimab (Biogen) in Phase 3 development for SLE and CLE, and an anti-ILT7 antibody, daxdilimab (Amgen) in Phase 2 development for dermatomyositis or anti-synthetase inflammatory myositis, and discoid lupus erythematosus.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efficacy and safety profile as demonstrated in planned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clinical indications for which the product candidate is approved;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restrictions on the use of our products, if approved, such as boxed warnings or contraindications in labeling or a REMS, if any, which may not be required of alternative treatments and competitor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acceptance of the product candidate as a safe and effective treatment by physicians, clinics and patients;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potential and perceived advantages of product candidates over alternative treatments, including any similar generic treatments;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availability of coverage and adequate reimbursement and pricing by third parties and government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frequency and severity of adverse events;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effectiveness of sales and marketing efforts; and</w:t>
      </w:r>
    </w:p>
    <w:p>
      <w:pPr>
        <w:pStyle w:val="TextBody"/>
        <w:bidi w:val="0"/>
        <w:spacing w:lineRule="auto" w:line="288" w:before="120" w:after="200"/>
        <w:ind w:left="0" w:right="0" w:hanging="450"/>
        <w:jc w:val="left"/>
        <w:rPr/>
      </w:pPr>
      <w:r>
        <w:rPr>
          <w:color w:val="000000"/>
        </w:rPr>
        <w:t>•</w:t>
      </w:r>
      <w:r>
        <w:rPr>
          <w:rFonts w:ascii="Times New Roman;sans-serif" w:hAnsi="Times New Roman;sans-serif"/>
          <w:b w:val="false"/>
          <w:color w:val="000000"/>
          <w:sz w:val="20"/>
        </w:rPr>
        <w:t>unfavorable publicity relating to the product candidate.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pStyle w:val="TextBody"/>
        <w:bidi w:val="0"/>
        <w:spacing w:lineRule="auto" w:line="288" w:before="240" w:after="283"/>
        <w:ind w:left="0" w:right="0" w:firstLine="630"/>
        <w:jc w:val="left"/>
        <w:rPr>
          <w:rFonts w:ascii="Times New Roman;sans-serif" w:hAnsi="Times New Roman;sans-serif"/>
          <w:b/>
          <w:color w:val="000000"/>
          <w:sz w:val="20"/>
        </w:rPr>
      </w:pPr>
      <w:r>
        <w:rPr>
          <w:rFonts w:ascii="Times New Roman;sans-serif" w:hAnsi="Times New Roman;sans-serif"/>
          <w:b/>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manufacture of biologics is complex, and our third party manufacturers may encounter difficulties in production. If any of our third 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all of our therapeutic antibodies are manufactured by starting with cells which are stored in a cell bank. We have one master cell bank for each antibody manufactured in accordance with cGMP and create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United States.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United States. We cannot predict what actions may ultimately be taken with respect to trade relations between the United States and China or other countries, what products and services may be subject to such actions or what actions may be taken by the other countries in retaliation.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result in shipment delays, inventory shortages, lot failures, product withdrawals or recalls, or other interruptions in the supply of our product candidates or products.</w:t>
      </w:r>
    </w:p>
    <w:p>
      <w:pPr>
        <w:pStyle w:val="TextBody"/>
        <w:bidi w:val="0"/>
        <w:spacing w:lineRule="auto" w:line="288" w:before="240" w:after="283"/>
        <w:jc w:val="left"/>
        <w:rPr/>
      </w:pPr>
      <w:r>
        <w:rPr>
          <w:rFonts w:ascii="Times New Roman;sans-serif" w:hAnsi="Times New Roman;sans-serif"/>
          <w:b/>
          <w:color w:val="000000"/>
          <w:sz w:val="20"/>
        </w:rPr>
        <w:t>The macroeconomic and geopolitical environment may have a material impact on the U.S. and global economies and could materially impact our business, financial condition and results of operations.</w:t>
      </w:r>
      <w:r>
        <w:rPr>
          <w:color w:val="212529"/>
        </w:rPr>
        <w:t xml:space="preserv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macroeconomic and geopolitical environment, including inflation, increased volatility in interest rates, tariffs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additional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Capital Needs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incurred significant operating losses in every year except fiscal year 2014. For the year ended December 31, 2024, our collaboration revenue was $91.3 million and our net loss was $145.2 million. As of December 31, 2024, we had an accumulated deficit of $759.3 million.</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have financed our operations primarily through our initial public offering of common stock in January 2017, our follow-on public offerings of common stock in October 2017, September 2018, and August 2024, and royalty monetization transactions such as our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Amendment. We have devoted substantially all of our efforts to research and development. Rosnilimab is in Phase 2 clinical development and we expect that it will be several years, if ever, before any of our active product candidates are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continue research and preclinical development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identify additional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conduct additional preclinical studies and initiate clinical trials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obtain approvals for the product candidates we develop or developed under our collaboration arrangements;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 sales, marketing and distribution infrastructure to commercialize any product candidates for which we may obtain marketing approval;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hire additional executive, clinical, quality control and scientific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add operational, financial and management information systems and personnel, including personnel to support our product development and commercialization efforts;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and maintain supply and manufacturing relationships with third parties and ensure adequate and legally compliant manufacturing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obtain coverage and adequate product reimbursement from third party payors, including government payors;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acquire or in-license other product candidates and technologies;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achieve market acceptance for our or our collaborators’ products, if any.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significantly delay, scale back or discontinue the development or commercialization of our product candidates or cease operations altogether;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seek strategic alliances for research and development programs at an earlier stage than we would otherwise desire or on terms less favorable than might otherwise be available;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relinquish, or license on unfavorable terms, our rights to technologies or future product candidates that we otherwise would seek to develop or commercialize ourselves;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eliminate staff to conserve resources.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fluctuating interest rates, tariffs,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 and future product candidates we may develop;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number and size of clinical trials needed to show safety, efficacy and an acceptable risk/benefit profile for any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timing and cost of seeking and obtaining regulatory approvals from the FDA and foreign regulatory authorities, including the potential for such authorities to require that we perform more studies or trials than those that we currently expect;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commercial success or failure of products sold by our collaborators, such as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by GSK, and the timing thereof;</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market acceptance of any approved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costs of acquiring, licensing or investing in additional businesses, products, product candidates and technologies;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of recruiting and retaining key employees;</w:t>
      </w:r>
    </w:p>
    <w:p>
      <w:pPr>
        <w:pStyle w:val="TextBody"/>
        <w:bidi w:val="0"/>
        <w:spacing w:lineRule="auto" w:line="417" w:before="120" w:after="283"/>
        <w:ind w:left="0" w:right="0" w:hanging="360"/>
        <w:jc w:val="left"/>
        <w:rPr/>
      </w:pPr>
      <w:r>
        <w:rPr>
          <w:color w:val="000000"/>
        </w:rPr>
        <w:t>•</w:t>
      </w:r>
      <w:r>
        <w:rPr>
          <w:rFonts w:ascii="Times New Roman;sans-serif" w:hAnsi="Times New Roman;sans-serif"/>
          <w:b w:val="false"/>
          <w:color w:val="000000"/>
          <w:sz w:val="20"/>
        </w:rPr>
        <w:t>the costs and fees associated with any delays or cancellations of forecasted manufacturing batches;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and timing of selecting, auditing and potentially validating manufacturing sites for commercial-scale manufacturing;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of establishing sales, marketing and distribution capabilities for our product candidates for which we may receive regulatory approval and that we determine to commercialize ourselves or in collaboration with our collaborators.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cannot expand our operations or otherwise capitalize on our business opportunities due to a lack of capital, our business, financial condition and results of operations could be adversely affected.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Raising additional capital may cause dilution to our existing stockholders, restrict our operations or require us to relinquish rights to our product candidates on unfavorable terms to us.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Dependence on Third Parties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collaboration with GSK to develop several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For example, in October 2023, we agreed with GSK to terminate the LAG-3 antagonist antibody development program under our existing collaboration. As a result, we will not receive any additional milestones or any royalties from GSK for that development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October 2020, we settled a matter with GSK related to an alleged breach of our collaboration agreement in connection with GSK’s use of certain antibodies originally developed by us for the development of a drug not covered by the agreement. There can be no assurance that we will not encounter such issues under our collaborations with GSK or other parties in the future.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may not succeed in establishing and maintaining additional development and commercialization collaborations, which could adversely affect our ability to develop and commercialize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Moreover, if we fail to establish and maintain additional collaborations related to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development of certain of our current or future product candidates may be terminated or delayed;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cash expenditures related to development of certain of our current or future product candidates would increase significantly and we may need to seek additional financing;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be required to hire additional employees or otherwise develop expertise, such as sales and marketing expertise, for which we have not budgeted;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bear all of the risk related to the development and commercialization of any such product candidates.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rely completely on third parties to manufacture our nonclinical, clinical and future commercial drug supplies of any approved products.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 party manufacturer or otherwise, could considerably harm our business and ability to generate revenue and delay completion of our clinical trials, product testing and potential regulatory approval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Reliance on third 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depend on a small number of suppliers for the raw materials necessary to produce our product candidates. The loss of these suppliers, or their failure to supply us with these raw materials, would materially and adversely affect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the availability of key raw materials for our product candidates from a small number of third 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Regulatory Approval of Our Product Candidates and Other Legal Compliance Matters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failure to obtain regulatory approval in international jurisdictions would prevent us or our collaborators from marketing our product candidates outside the United States.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approvals and compliance with foreign regulatory requirements could result in significant delays, difficulties and costs for us and could delay or prevent the introduction of our products in certain countries.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Any drugs we develop may become subject to unfavorable third party reimbursement practices and pricing regulations.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 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Increasingly, third 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 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increasing efforts by governmental and third 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are unable to establish or sustain coverage and adequate reimbursement for any future product candidates from third party payors, the adoption of those product candidates and sales revenue will be adversely affected, which, in turn, could adversely affect the ability to market or sell those product candidates, if approved. Coverage policies and third 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Healthcare legislative reform measures may increase the difficulty and cost for us or our collaborators to obtain marketing approval of and commercialize our product candidates and affect the pricing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pStyle w:val="TextBody"/>
        <w:bidi w:val="0"/>
        <w:spacing w:lineRule="auto" w:line="26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7 years (11 years for biologics). The negotiated prices, which will first become effective in 2026, will be capped at a statutory ceiling price.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are taking effect progressively starting in 2023, although they are subject to legal challenges. For example, the provisions related to the negotiation of selling prices of high-expenditure single-source drugs and biologics have been challenged in multiple lawsuits. Thus, it is unclear how the IRA will be implemented but it will likely have a significant impact on the pharmaceutical industry and the pricing of our products and product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We cannot predict the reform initiatives that may be adopted in the future or whether initiatives that have been adopted will be repealed or modified.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 ACA, the IRA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business entails a significant risk of product liability, and our ability to obtain sufficient insurance coverage could have an adverse effect on our business, financial condition, results of operations or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relationships with customers and third 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providers and third party payors play a primary role in the recommendation and prescription of any product candidates for which we or our collaborators obtain marketing approval. Our future arrangements with third 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HIPAA imposes criminal and civil liability for, among other things, executing or attempting to execute a scheme to defraud any health care benefit program or making false statements relating to health care matters;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physicians and their immediate family members. The information was initially made publicly available on a searchable website in September 2014 and is disclosed on an annual basis;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analogous state and foreign laws and regulations, such as state anti-kickback and false claims laws, may apply to sales or marketing arrangements and claims involving health care items or services reimbursed by non-governmental third party payors, including private insurers.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failure to comply with privacy and data security laws, regulations and standards may cause our business to be materially adversely affected.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process a quantity of sensitive, confidential and/or regulated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processing and protection of personal information, including federal and state health information privacy laws, federal and state security breach notification laws, and federal and state consumer protection laws. In the EU and United Kingdom (“UK”), their respective General Data Protection Regulations (collectively, “GDPR”), which apply extraterritorially, impose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(including the United States). Companies that must comply with the GDPR face increased compliance obligations and risk, including more robust regulatory enforcement of data protection requirements and potential fines for noncompliance of up to €20 million (approximately $22.6 million) or 4 percent of the annual global revenues of the noncompliant company, whichever is greater.</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impact our compliance efforts. For example, California enacted the California Consumer Privacy Act (as amended, the “CCPA”). Failure to comply with the CCPA may result in significant civil penalties, injunctive relief, or statutory or actual damages as determined by the California Privacy Protection Agency or the California Attorney General. Following California’s lead, 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has a broader scope than HIPAA and includes a private right of action. In addition, various comprehensive federal privacy bills have been proposed in Congress.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 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employees may engage in misconduct or other improper activities, including noncompliance with regulatory standards and requirements and insider trading.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If we are unable to obtain or protect intellectual property rights, we may not be able to compete effectively in our market.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not be able to protect our intellectual property rights throughout the world.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patent law could diminish the value of patents in general, thereby impairing our ability to protect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on our business and financial conditions. For example, the U.S. Supreme Court and the U.S. Court of Appeals for the Federal Circuit rendered decisions in several patent cases such as </w:t>
      </w:r>
      <w:r>
        <w:rPr>
          <w:rFonts w:ascii="Times New Roman;sans-serif" w:hAnsi="Times New Roman;sans-serif"/>
          <w:b w:val="false"/>
          <w:i/>
          <w:color w:val="000000"/>
          <w:sz w:val="20"/>
        </w:rPr>
        <w:t>Association for Molecular Pathology v. Myriad Genetics, Inc.</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BRCA1- &amp; BRCA2-Based Hereditary Cancer Test Patent Litig</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Mayo Collaborative Services v. Prometheus Laboratories, Inc.,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Alice Corporation Pty. Ltd. v. CLS Bank International</w:t>
      </w:r>
      <w:r>
        <w:rPr>
          <w:rFonts w:ascii="Times New Roman;sans-serif" w:hAnsi="Times New Roman;sans-serif"/>
          <w:b w:val="false"/>
          <w:color w:val="000000"/>
          <w:sz w:val="20"/>
        </w:rPr>
        <w:t>,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 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become involved in lawsuits to protect or enforce our intellectual property, which could be expensive, time-consuming and unsuccessful and have an adverse effect on the success of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to protect our or our licensors’, licensees’ or collaborators’ trade secrets or to determine the validity or scope of intellectual property rights we own or control. Also, third parties may initiate legal proceedings against us or our licensors,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 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we breach the license agreements related to our product candidates, we could lose the ability to continue the development and commercialization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upon our ability, and the ability of our licensors, licensees and collaborators, to develop, manufacture, market and sell our product candidates and use our and our licensors’, licensees’ or collaborators’ wholly owned technologies without infringing the proprietary rights of third parties. A third party may hold intellectual property, 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regarding intellectual property subject to a licensing agreement,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extent to which our technology and processes infringe on intellectual property of the licensor that is not subject to the licensing agreement;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sublicensing of patent and other rights under any collaboration relationships we might enter into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ownership of inventions and know-how resulting from the joint creation or use of intellectual property by us and our licensors, licensees or collaborators;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disputes over intellectual property that we have licensed prevent or impair our ability to maintain any future licensing arrangements on acceptable terms, we may be unable to successfully develop and commercialize the affected product candidates.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inability to protect our confidential information and trade secrets would harm our business and competitive position.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seeking patents for some of our technology and products, we also rely on trade secrets, including unpatented know-how, technology and other proprietary information, to maintain our competitive position. We seek to protect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we do not obtain protection under the Hatch-Waxman Amendments and similar foreign legislation for extending the term of patents covering each of our product candidates, our business may be harmed.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Managing Growth, Operations and Macroeconomic Conditions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must attract and retain highly skilled employees in order to succeed.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expect to expand our development and regulatory capabilities, and as a result, we may encounter difficulties in managing our growth, which could disrupt our operations.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internal computer systems, or those of our third-party collaborators or other service providers, may fail or suffer security breaches and cyber-attacks, which could result in a material disruption of our development programs.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increasingly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Despite the implementation of security measures, any of the internal technology systems belonging to us, our collaborators or our third 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collaborators’ or in third party service providers’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sensitive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system protections may be ineffective or inadequate, or we could be impacted by software bugs or other technical malfunctions, as well as employee error or malfeasance. Additionally, laws and regulations regarding privacy and data protection are evolving, and it is possible that they may be interpreted and applied in a manner that is inconsistent with our data handling safeguards and practices that could result in fines, lawsuits, and other penalties, and significant changes to our or our collaborators or third party service providers’ business practices and products and service offerings. To the extent that the measures we or our collaborators or third-party service providers have taken prove to be insufficient or inadequate, we may become subject to 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our collaborators to hacks, viruses, and other disruptions. For example, the loss of clinical trial data from completed or future clinical trials could result in delays in our regulatory approval efforts and significantly increase our costs to recover or reproduce the data.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integral parties in our supply chain are geographically concentrated and operating from single sites, increasing their vulnerability to natural disasters or other sudden, unforeseen and severe and/or material disruptions. If such an event were to affect our supply chain, it could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The market price of our stock has been and may continue to be volatile, and you could lose all or part of your investment.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of competitive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actions with respect to our products or our competitors’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actual or anticipated changes in our growth rate relative to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announcements by us or our competitors of significant acquisitions, strategic collaborations, joint ventures, collaborations or capital commitments;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results of preclinical studies and clinical trials of our product candidates or those of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or legal developments in the United States and other countries;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recruitment or departure of key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expenses related to any of our product candidates or clinical development 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developments with respect to our existing collaboration agreements and announcements of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disputes, breaches and terminations of our manufacturing agreements, collaborations agreements or other important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results of our efforts to in-license or acquire additional product candidates or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actual or anticipated changes in estimates as to financial results, development timelines or recommendations by securities analysts;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variations in our financial results or those of companies that are perceived to be similar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fluctuations in the valuation of companies perceived by investors to be comparable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share price and volume fluctuations attributable to inconsistent trading volume levels of our shares;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announcement or expectation of additional financing efforts;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our common stock by us, our insiders or our other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purchases of our common stock by us pursuant to a stock repurchase program;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the structure of health care payment systems;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market conditions in the biotechnology sector;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a broad range of other risks, including those described in this “Risk Factors” section, could have a dramatic and adverse impact on the market price of our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broad discretion in the use of the net proceeds from our public offerings and may not use them effectively.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subject to securities litigation, which is expensive and could divert management attention.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requirements of being a public company may strain our resources, divert management’s attention, and affect our ability to attract and retain additional executive management and qualified board members.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While we have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or upon vesting of outstanding awards. These shares can be freely sold in the public market upon issuance and once vested, subject to volume limitations applicable to affiliates. If any of these additional shares are sold, or if it is perceived that they will be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public market, the market price of our common stock could decline. Such sales may also result in material dilution to our existing stockholders, and new investors could gain rights, preferences and privileges senior to the holders of our common stock. In November 2022, we entered into a sales agreement with Cowen and Company, LLC (“Cowen”), through which we may offer and sell shares of our common stock, having an aggregate offering of up to $150.0 million through Cowen as our sales agent. In November 2024, we entered into a sales agreement with TD Securities (USA) LLC (“TD Cowen”), through which we may offer and sell shares of our common stock, having an aggregate offering of up to $100.0 million through TD Cowen as our sales agent. Our prior sales agreement with Cowen terminated upon effectiveness of the registration statement on the Form S-3 we filed in connection with our sales agreement with TD Cowen.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disclosure controls and procedures may not prevent or detect all errors or acts of fraud.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cash and investments could be adversely affected if the financial institutions in which we hold our cash and investments fail.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maintain cash balances at third 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Provisions in our restated certificate of incorporation and restated bylaws and Delaware law might discourage, delay or prevent a change in control of our company or changes in our management and, therefore, depress the market price of our common stock.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or restated certificate, and second amended and restated bylaws, or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 classified Board of Directors so that not all members of our Board of Directors are elected at one time;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permit only the Board of Directors to establish the number of directors and fill vacancies on the Board of Directors;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provide that directors may only be removed “for cause” and only with the approval of two-thirds of our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require super-majority voting to amend some provisions in our restated certificate of incorporation and restated bylaws;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 (also known as a “poison pill”);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prohibit cumulative voting;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 </w:t>
      </w:r>
    </w:p>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pStyle w:val="TextBody"/>
        <w:bidi w:val="0"/>
        <w:spacing w:lineRule="auto" w:line="26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use our current year operating losses to offset taxable income from any revenue generated from operations or corporate collaborations. To the extent we have taxable income in excess of current year operating losses, we plan to use our NOL carryforwards to offset income that would otherwise be taxable. However, the benefits from the use of our NOL carryforwards may be limited under Section 382 of the Code, if we undergo an “ownership change,” which is generally defined as a greater than 50 percentage point change (by value) in its equity ownership by certain stockholders over a three-year period. We experienced ownership changes as defined by Section 382 of the Code during 2007, 2017 and 2021. Our use of federal and state NOLs could be further limited if we experience one or more ownership changes subsequent to December 31, 2024. </w:t>
      </w:r>
    </w:p>
    <w:p>
      <w:pPr>
        <w:pStyle w:val="TextBody"/>
        <w:bidi w:val="0"/>
        <w:spacing w:lineRule="auto" w:line="26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Under legislative changes made by the Tax Cuts and Jobs Act, the U.S. federal NOLs incurred in 2018 and in future years may be carried forward indefinitely, but the ability to utilize such federal NOLs to offset taxable income is limited to 80% of our taxable income (without regard to certain deductions). Our significant state NOLs were generated in the state of California, which provides for a 20 year carry forward. State NOL carryforwards may be similarly limited by cumulative ownership changes. In addition, there may be periods during which the use of NOL carryforwards is suspended or otherwise limited at the state level, which could also impact our ability to utilize NOL carryforwards. Any such limitations on the use of our NOLs may result in greater tax liabilities than we would incur in the absence of such a limitation, and any increased liabilities could adversely affect our business, results of operations, financial condition and cash flow.</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federal NOLs of approximately $300.7 million. Of this, $38.6 million will expire beginning in 2031 through 2037, if not used to reduce income taxes payable in the future and $262.0 million carry forward indefinitely. We had state NOLs of approximately $73.0 million, which will expire beginning in 2028 through 2044.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are a smaller reporting company and may elect to comply with reduced public company reporting requirements applicable to smaller reporting companies, which could make our common stock less attractive to investors.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second fiscal quarter.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some investors find our common stock less attractive as a result of any choices to reduce future disclosure we may make,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recognize the critical </w:t>
      </w:r>
      <w:r>
        <w:rPr>
          <w:rFonts w:ascii="Times New Roman;sans-serif" w:hAnsi="Times New Roman;sans-serif"/>
          <w:b w:val="false"/>
          <w:color w:val="221E1F"/>
          <w:sz w:val="20"/>
        </w:rPr>
        <w:t>importance of maintaining the trust and confidence of all of our stakeholders. Our business depends on the efficient and uninterrupted operation of our information technology systems and those of our third party CROs, CMOs, or other vendors, contractors or consultants.</w:t>
      </w:r>
    </w:p>
    <w:p>
      <w:pPr>
        <w:pStyle w:val="TextBody"/>
        <w:bidi w:val="0"/>
        <w:spacing w:lineRule="auto" w:line="288" w:before="120" w:after="283"/>
        <w:jc w:val="left"/>
        <w:rPr>
          <w:rFonts w:ascii="Times New Roman;sans-serif" w:hAnsi="Times New Roman;sans-serif"/>
          <w:b w:val="false"/>
          <w:i/>
          <w:color w:val="221E1F"/>
          <w:sz w:val="20"/>
        </w:rPr>
      </w:pPr>
      <w:r>
        <w:rPr>
          <w:rFonts w:ascii="Times New Roman;sans-serif" w:hAnsi="Times New Roman;sans-serif"/>
          <w:b w:val="false"/>
          <w:i/>
          <w:color w:val="221E1F"/>
          <w:sz w:val="20"/>
        </w:rPr>
        <w:t>Risk Management and Strategy</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The Company’s cybersecurity program is focused on the following key </w:t>
      </w:r>
      <w:r>
        <w:rPr>
          <w:rFonts w:ascii="Times New Roman;sans-serif" w:hAnsi="Times New Roman;sans-serif"/>
          <w:b w:val="false"/>
          <w:color w:val="221E1F"/>
          <w:sz w:val="20"/>
        </w:rPr>
        <w:t>areas</w:t>
      </w:r>
      <w:r>
        <w:rPr>
          <w:rFonts w:ascii="Times New Roman;sans-serif" w:hAnsi="Times New Roman;sans-serif"/>
          <w:b w:val="false"/>
          <w:color w:val="000000"/>
          <w:sz w:val="20"/>
        </w:rPr>
        <w:t>:</w:t>
      </w:r>
    </w:p>
    <w:p>
      <w:pPr>
        <w:pStyle w:val="TextBody"/>
        <w:bidi w:val="0"/>
        <w:spacing w:lineRule="auto" w:line="288" w:before="120" w:after="283"/>
        <w:ind w:left="0" w:right="0" w:firstLine="1350"/>
        <w:jc w:val="left"/>
        <w:rPr/>
      </w:pPr>
      <w:r>
        <w:rPr>
          <w:rFonts w:ascii="Times New Roman;sans-serif" w:hAnsi="Times New Roman;sans-serif"/>
          <w:b/>
          <w:color w:val="000000"/>
          <w:sz w:val="20"/>
        </w:rPr>
        <w:t xml:space="preserve">Governance: </w:t>
      </w:r>
      <w:r>
        <w:rPr>
          <w:rFonts w:ascii="Times New Roman;sans-serif" w:hAnsi="Times New Roman;sans-serif"/>
          <w:b w:val="false"/>
          <w:color w:val="000000"/>
          <w:sz w:val="20"/>
        </w:rPr>
        <w:t>The Board’s oversight of cybersecurity risk management is supported by the Audit Committee of the Board (the “Audit Committee”), which regularly interacts with our Head of IT and our executive management team.</w:t>
      </w:r>
    </w:p>
    <w:p>
      <w:pPr>
        <w:pStyle w:val="TextBody"/>
        <w:bidi w:val="0"/>
        <w:spacing w:lineRule="auto" w:line="288" w:before="120" w:after="283"/>
        <w:ind w:left="0" w:right="0" w:firstLine="1350"/>
        <w:jc w:val="left"/>
        <w:rPr/>
      </w:pPr>
      <w:r>
        <w:rPr>
          <w:rFonts w:ascii="Times New Roman;sans-serif" w:hAnsi="Times New Roman;sans-serif"/>
          <w:b/>
          <w:color w:val="000000"/>
          <w:sz w:val="20"/>
        </w:rPr>
        <w:t xml:space="preserve">Collaborative Approach: </w:t>
      </w:r>
      <w:r>
        <w:rPr>
          <w:rFonts w:ascii="Times New Roman;sans-serif" w:hAnsi="Times New Roman;sans-serif"/>
          <w:b w:val="false"/>
          <w:color w:val="000000"/>
          <w:sz w:val="20"/>
        </w:rPr>
        <w:t xml:space="preserve">We have implemented a cross-functional approach to identifying, preventing, and mitigating cybersecurity threats and incidents, while also implementing controls and procedures that provide for the prompt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escalation of certain cybersecurity incidents so that decisions regarding the public disclosure and reporting of such incidents can be made by management in a timely manner.</w:t>
      </w:r>
    </w:p>
    <w:p>
      <w:pPr>
        <w:pStyle w:val="TextBody"/>
        <w:bidi w:val="0"/>
        <w:spacing w:lineRule="auto" w:line="288" w:before="120" w:after="283"/>
        <w:ind w:left="0" w:right="0" w:firstLine="1350"/>
        <w:jc w:val="left"/>
        <w:rPr/>
      </w:pPr>
      <w:r>
        <w:rPr>
          <w:rFonts w:ascii="Times New Roman;sans-serif" w:hAnsi="Times New Roman;sans-serif"/>
          <w:b/>
          <w:color w:val="000000"/>
          <w:sz w:val="20"/>
        </w:rPr>
        <w:t xml:space="preserve">Technical Safeguards: </w:t>
      </w:r>
      <w:r>
        <w:rPr>
          <w:rFonts w:ascii="Times New Roman;sans-serif" w:hAnsi="Times New Roman;sans-serif"/>
          <w:b w:val="false"/>
          <w:color w:val="000000"/>
          <w:sz w:val="20"/>
        </w:rPr>
        <w:t xml:space="preserve">We deploy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 </w:t>
      </w:r>
    </w:p>
    <w:p>
      <w:pPr>
        <w:pStyle w:val="TextBody"/>
        <w:bidi w:val="0"/>
        <w:spacing w:lineRule="auto" w:line="288" w:before="120" w:after="283"/>
        <w:ind w:left="0" w:right="0" w:firstLine="1350"/>
        <w:jc w:val="left"/>
        <w:rPr/>
      </w:pPr>
      <w:r>
        <w:rPr>
          <w:rFonts w:ascii="Times New Roman;sans-serif" w:hAnsi="Times New Roman;sans-serif"/>
          <w:b/>
          <w:color w:val="000000"/>
          <w:sz w:val="20"/>
        </w:rPr>
        <w:t xml:space="preserve">Incident Response and Recovery Planning: </w:t>
      </w:r>
      <w:r>
        <w:rPr>
          <w:rFonts w:ascii="Times New Roman;sans-serif" w:hAnsi="Times New Roman;sans-serif"/>
          <w:b w:val="false"/>
          <w:color w:val="000000"/>
          <w:sz w:val="20"/>
        </w:rPr>
        <w:t>We have established and maintain incident response and recovery plans to address our response to a cybersecurity incident. We use a manage, detection, and response (MDR) partner to provide threat detection and response capabilities. We also utilize security consultants including a vCISO to assess and continuously improve our cybersecurity program.</w:t>
      </w:r>
    </w:p>
    <w:p>
      <w:pPr>
        <w:pStyle w:val="TextBody"/>
        <w:bidi w:val="0"/>
        <w:spacing w:lineRule="auto" w:line="288" w:before="120" w:after="283"/>
        <w:ind w:left="0" w:right="0" w:firstLine="1350"/>
        <w:jc w:val="left"/>
        <w:rPr/>
      </w:pPr>
      <w:r>
        <w:rPr>
          <w:rFonts w:ascii="Times New Roman;sans-serif" w:hAnsi="Times New Roman;sans-serif"/>
          <w:b/>
          <w:color w:val="000000"/>
          <w:sz w:val="20"/>
        </w:rPr>
        <w:t xml:space="preserve">Third Party Risk Management: </w:t>
      </w:r>
      <w:r>
        <w:rPr>
          <w:rFonts w:ascii="Times New Roman;sans-serif" w:hAnsi="Times New Roman;sans-serif"/>
          <w:b w:val="false"/>
          <w:color w:val="000000"/>
          <w:sz w:val="20"/>
        </w:rPr>
        <w:t>We strive to proactively manage third party risks to minimize any adverse effects on our business that may arise due to a cybersecurity incident affecting third party systems and vendors. Although we rely on third party vendors to manage and maintain their own cybersecurity defense programs, we continue to improve on our vendor risk management program to assess our exposure to these external cybersecurity risks, including the use of external security rating services and by evaluating vendor responses to our cybersecurity questionnaire.</w:t>
      </w:r>
    </w:p>
    <w:p>
      <w:pPr>
        <w:pStyle w:val="TextBody"/>
        <w:bidi w:val="0"/>
        <w:spacing w:lineRule="auto" w:line="288" w:before="120" w:after="283"/>
        <w:ind w:left="0" w:right="0" w:firstLine="1350"/>
        <w:jc w:val="left"/>
        <w:rPr/>
      </w:pPr>
      <w:r>
        <w:rPr>
          <w:rFonts w:ascii="Times New Roman;sans-serif" w:hAnsi="Times New Roman;sans-serif"/>
          <w:b/>
          <w:color w:val="000000"/>
          <w:sz w:val="20"/>
        </w:rPr>
        <w:t xml:space="preserve">Education and Awareness: </w:t>
      </w:r>
      <w:r>
        <w:rPr>
          <w:rFonts w:ascii="Times New Roman;sans-serif" w:hAnsi="Times New Roman;sans-serif"/>
          <w:b w:val="false"/>
          <w:color w:val="000000"/>
          <w:sz w:val="20"/>
        </w:rPr>
        <w:t>We provide mandatory training and resources for personnel regarding cybersecurity threats as a means to equip our employees with effective tools to address cybersecurity threats, and to communicate our evolving information security policies, standards, processes and practices.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engage in the </w:t>
      </w:r>
      <w:r>
        <w:rPr>
          <w:rFonts w:ascii="Times New Roman;sans-serif" w:hAnsi="Times New Roman;sans-serif"/>
          <w:b w:val="false"/>
          <w:color w:val="221E1F"/>
          <w:sz w:val="20"/>
        </w:rPr>
        <w:t>periodic</w:t>
      </w:r>
      <w:r>
        <w:rPr>
          <w:color w:val="000000"/>
        </w:rPr>
        <w:t xml:space="preserve"> </w:t>
      </w:r>
      <w:r>
        <w:rPr>
          <w:rFonts w:ascii="Times New Roman;sans-serif" w:hAnsi="Times New Roman;sans-serif"/>
          <w:b w:val="false"/>
          <w:color w:val="000000"/>
          <w:sz w:val="20"/>
        </w:rPr>
        <w:t>assessment and testing of our</w:t>
      </w:r>
      <w:r>
        <w:rPr>
          <w:color w:val="221E1F"/>
        </w:rPr>
        <w:t xml:space="preserve"> </w:t>
      </w:r>
      <w:r>
        <w:rPr>
          <w:rFonts w:ascii="Times New Roman;sans-serif" w:hAnsi="Times New Roman;sans-serif"/>
          <w:b w:val="false"/>
          <w:color w:val="221E1F"/>
          <w:sz w:val="20"/>
        </w:rPr>
        <w:t>cybersecurity program. These efforts include a wide range of activities, including audits, assessments, vulnerability testing and other exercises focused on evaluating the effectiveness of our cybersecurity measures and planning. These activities may be performed by external cybersecurity and application security professionals.</w:t>
      </w:r>
    </w:p>
    <w:p>
      <w:pPr>
        <w:pStyle w:val="TextBody"/>
        <w:bidi w:val="0"/>
        <w:spacing w:lineRule="auto" w:line="288" w:before="120" w:after="283"/>
        <w:jc w:val="left"/>
        <w:rPr>
          <w:rFonts w:ascii="Times New Roman;sans-serif" w:hAnsi="Times New Roman;sans-serif"/>
          <w:b w:val="false"/>
          <w:i/>
          <w:color w:val="221E1F"/>
          <w:sz w:val="20"/>
        </w:rPr>
      </w:pPr>
      <w:r>
        <w:rPr>
          <w:rFonts w:ascii="Times New Roman;sans-serif" w:hAnsi="Times New Roman;sans-serif"/>
          <w:b w:val="false"/>
          <w:i/>
          <w:color w:val="221E1F"/>
          <w:sz w:val="20"/>
        </w:rPr>
        <w:t>Governance</w:t>
      </w:r>
    </w:p>
    <w:p>
      <w:pPr>
        <w:pStyle w:val="TextBody"/>
        <w:bidi w:val="0"/>
        <w:spacing w:lineRule="auto" w:line="288" w:before="120" w:after="283"/>
        <w:ind w:left="0" w:right="0" w:firstLine="630"/>
        <w:jc w:val="left"/>
        <w:rPr>
          <w:rFonts w:ascii="Times New Roman;sans-serif" w:hAnsi="Times New Roman;sans-serif"/>
          <w:b w:val="false"/>
          <w:color w:val="221E1F"/>
          <w:sz w:val="20"/>
        </w:rPr>
      </w:pPr>
      <w:r>
        <w:rPr>
          <w:rFonts w:ascii="Times New Roman;sans-serif" w:hAnsi="Times New Roman;sans-serif"/>
          <w:b w:val="false"/>
          <w:color w:val="221E1F"/>
          <w:sz w:val="20"/>
        </w:rPr>
        <w:t>The Board, in coordination with the Audit Committee, oversees our risk management process. The Board and the Audit Committee also receive prompt and timely information regarding any cybersecurity incident that meets established reporting thresholds, as well as ongoing updates regarding any such incident until it has been addressed. On a quarterly basis, the Audit Committee discuss our approach to cybersecurity risk management with the Head of IT.</w:t>
      </w:r>
    </w:p>
    <w:p>
      <w:pPr>
        <w:pStyle w:val="TextBody"/>
        <w:bidi w:val="0"/>
        <w:spacing w:lineRule="auto" w:line="288" w:before="120" w:after="283"/>
        <w:ind w:left="0" w:right="0" w:firstLine="630"/>
        <w:jc w:val="left"/>
        <w:rPr>
          <w:rFonts w:ascii="Times New Roman;sans-serif" w:hAnsi="Times New Roman;sans-serif"/>
          <w:b w:val="false"/>
          <w:color w:val="221E1F"/>
          <w:sz w:val="20"/>
        </w:rPr>
      </w:pPr>
      <w:r>
        <w:rPr>
          <w:rFonts w:ascii="Times New Roman;sans-serif" w:hAnsi="Times New Roman;sans-serif"/>
          <w:b w:val="false"/>
          <w:color w:val="221E1F"/>
          <w:sz w:val="20"/>
        </w:rPr>
        <w:t>Our Head of IT, in coordination with our executive management team, works collaboratively across the company to implement a program designed to protect our information systems from cybersecurity threats and to promptly respond to any cybersecurity incidents in accordance with our incident response and recovery plans. Through ongoing communications with our entire employee base and appropriate third-party contractors, the Head of IT and the executive management team monitor the prevention, detection, mitigation and remediation of cybersecurity threats and incidents in real time and report such threats and incidents to the Audit Committee when appropriate.</w:t>
      </w:r>
    </w:p>
    <w:p>
      <w:pPr>
        <w:pStyle w:val="TextBody"/>
        <w:bidi w:val="0"/>
        <w:spacing w:lineRule="auto" w:line="268" w:before="120" w:after="283"/>
        <w:ind w:left="0" w:right="0" w:firstLine="630"/>
        <w:jc w:val="left"/>
        <w:rPr>
          <w:rFonts w:ascii="Times New Roman;sans-serif" w:hAnsi="Times New Roman;sans-serif"/>
          <w:b w:val="false"/>
          <w:color w:val="221E1F"/>
          <w:sz w:val="20"/>
        </w:rPr>
      </w:pPr>
      <w:r>
        <w:rPr>
          <w:rFonts w:ascii="Times New Roman;sans-serif" w:hAnsi="Times New Roman;sans-serif"/>
          <w:b w:val="false"/>
          <w:color w:val="221E1F"/>
          <w:sz w:val="20"/>
        </w:rPr>
        <w:t>Our Head of IT has over 20 years of IT experience in the pharmaceutical industry and oversees the cybersecurity program at AnaptysBio. He has experience developing and leading cybersecurity programs for pharmaceutical companies, including experience in evaluating and implementing tools and technologies that enable defense and response capabilities and developing critical cybersecurity procedures and training and awareness programs.</w:t>
      </w:r>
    </w:p>
    <w:p>
      <w:pPr>
        <w:pStyle w:val="TextBody"/>
        <w:bidi w:val="0"/>
        <w:spacing w:lineRule="auto" w:line="288" w:before="120" w:after="283"/>
        <w:ind w:left="0" w:right="0" w:firstLine="630"/>
        <w:jc w:val="left"/>
        <w:rPr>
          <w:rFonts w:ascii="Times New Roman;sans-serif" w:hAnsi="Times New Roman;sans-serif"/>
          <w:b w:val="false"/>
          <w:color w:val="221E1F"/>
          <w:sz w:val="20"/>
        </w:rPr>
      </w:pPr>
      <w:r>
        <w:rPr>
          <w:rFonts w:ascii="Times New Roman;sans-serif" w:hAnsi="Times New Roman;sans-serif"/>
          <w:b w:val="false"/>
          <w:color w:val="221E1F"/>
          <w:sz w:val="20"/>
        </w:rPr>
        <w:t>Although we are subject to ongoing and evolving cybersecurity threats, we are not aware of any material cybersecurity threats, that have materially affected or are reasonably likely to affect us, including our business strategy, results of operations or financial condition. For more information on our cybersecurity risks, see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 is located at 10770 Wateridge Circle in San Diego, California, and consists of approximately 45,000 square feet of leased office and laboratory space under a lease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We use these facilities for our administrative, research and development and other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Trading Symbol and Holders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Global Select market under the symbol “ANAB” since January 26, 2017. As of February 24, 2025, we had approximately seven holders of record of our common stock. This number does not include beneficial owners whose shares were held in street name.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repurchase any of our registered equity securities during the quarter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283"/>
        <w:ind w:left="0" w:right="0" w:firstLine="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the historical consolidated financial statements and the notes thereto included in Part II, Item 8—Consolidated Financial Statements and Supplementary Data of this Annual Report on Form 10-K. This discussion and other sections of this Annual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 Item 1A of this Annual Report. You should also carefully read “Special Note Regarding Forward-Looking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are a clinical-stage biotechnology company focused on delivering innovative immunology therapeutics for autoimmune and inflammatory diseases. Our pipeline includes our lead program, rosnilimab, a depleter and agonist targeting PD-1+ T cells, in a Phase 2b trial for the treatment of moderate-to-severe rheumatoid arthritis (“RA”) and a Phase 2 trial for the treatment of moderate-to-severe ulcerative colitis (“UC”). We also have other antibodies in our portfolio, including ANB033, a CD122 antagonist in a Phase 1 trial and ANB101, a BDCA2 modulator, entering a Phase 1 trial. We have also discovered multiple therapeutic antibodies licensed to GlaxoSmithKline, Inc. (“GSK”) in a financial collaboration for immuno-oncology, including a PD-1 antagonist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(dostarlimab-gxly) or “</w:t>
      </w:r>
      <w:r>
        <w:rPr>
          <w:rFonts w:ascii="Times New Roman;sans-serif" w:hAnsi="Times New Roman;sans-serif"/>
          <w:b w:val="false"/>
          <w:i/>
          <w:color w:val="000000"/>
          <w:sz w:val="20"/>
        </w:rPr>
        <w:t>Jemperli</w:t>
      </w:r>
      <w:r>
        <w:rPr>
          <w:color w:val="000000"/>
        </w:rPr>
        <w:t>”</w:t>
      </w:r>
      <w:r>
        <w:rPr>
          <w:rFonts w:ascii="Times New Roman;sans-serif" w:hAnsi="Times New Roman;sans-serif"/>
          <w:b w:val="false"/>
          <w:color w:val="000000"/>
          <w:sz w:val="20"/>
        </w:rPr>
        <w:t>) and a TIM-3 antagonist (cobolimab, GSK4069889). We currently recognize revenue from milestones and royalties achieved under our immuno-oncology collaboration with GSK.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Wholly Owned Product Candidate Pipeline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immune cell modulating antibodies treat inflammatory disorders by down regulating immune responses mediated by multiple immune cell types including T cells. We believe these molecules have potential applicability across a broad range of autoimmune and inflammatory diseases including dermatology, rheumatology, gastroenterology, respiratory, and neurology therapeutic areas.</w:t>
      </w:r>
    </w:p>
    <w:p>
      <w:pPr>
        <w:pStyle w:val="TextBody"/>
        <w:bidi w:val="0"/>
        <w:spacing w:lineRule="auto" w:line="288" w:before="12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Rosnilimab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PD-1, or programmed cell death protein 1, is a co-inhibitory receptor that regulates T cell proliferation, and cytokine secretion. It is expressed preferentially on activated T cells, reducing the potential for off-target activity by rosnilimab. Genetic mutations in the PD-1 pathway are known to be associated with increased susceptibility to human inflammatory diseases which leads us to believe that rosnilimab is applicable to diseases where PD-1 co-inhibitory receptor function may be insufficient to maintain immune homeostasis.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Rosnilimab is an IgG1 antibody that directly targets PD-1+ T cells, resulting in their depletion or agonism, broadly impacting pathogenic drivers of autoimmune and inflammatory diseases. An IgG1 PD-1 agonist acts through three distinct mechanisms; depletion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effector T cells, depletion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Tfh and Tph cells, and agonism of PD-1</w:t>
      </w:r>
      <w:r>
        <w:rPr>
          <w:rFonts w:ascii="Times New Roman;sans-serif" w:hAnsi="Times New Roman;sans-serif"/>
          <w:b w:val="false"/>
          <w:color w:val="000000"/>
          <w:sz w:val="13"/>
        </w:rPr>
        <w:t>int</w:t>
      </w:r>
      <w:r>
        <w:rPr>
          <w:color w:val="000000"/>
        </w:rPr>
        <w:t xml:space="preserve"> </w:t>
      </w:r>
      <w:r>
        <w:rPr>
          <w:rFonts w:ascii="Times New Roman;sans-serif" w:hAnsi="Times New Roman;sans-serif"/>
          <w:b w:val="false"/>
          <w:color w:val="000000"/>
          <w:sz w:val="20"/>
        </w:rPr>
        <w:t>T cells. This drives specific immunological outcomes in both inflamed tissue and the periphery, such as reduction in T cell proliferation, migration, and cytokine secretion, and reduction of plasma cell generation and autoantibody levels. Rosnilimab is designed to enable formation of a tight immune synapse by binding to PD-1 on a membrane-proximal epitope, and simultaneously anchoring to an Fc receptor on an opposing cell, supporting crosslinking and excluding activating phosphatases such as CD45. Rosnilimab also facilitates depletion by bringing effector cells into closer proximity to pathogenically activated PD-1</w:t>
      </w:r>
      <w:r>
        <w:rPr>
          <w:rFonts w:ascii="Times New Roman;sans-serif" w:hAnsi="Times New Roman;sans-serif"/>
          <w:b w:val="false"/>
          <w:color w:val="000000"/>
          <w:sz w:val="13"/>
        </w:rPr>
        <w:t xml:space="preserve">high </w:t>
      </w:r>
      <w:r>
        <w:rPr>
          <w:rFonts w:ascii="Times New Roman;sans-serif" w:hAnsi="Times New Roman;sans-serif"/>
          <w:b w:val="false"/>
          <w:color w:val="000000"/>
          <w:sz w:val="20"/>
        </w:rPr>
        <w:t>T cells.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in</w:t>
      </w:r>
      <w:r>
        <w:rPr>
          <w:color w:val="000000"/>
        </w:rPr>
        <w:t xml:space="preserve"> </w:t>
      </w:r>
      <w:r>
        <w:rPr>
          <w:rFonts w:ascii="Times New Roman;sans-serif" w:hAnsi="Times New Roman;sans-serif"/>
          <w:b w:val="false"/>
          <w:i/>
          <w:color w:val="000000"/>
          <w:sz w:val="20"/>
        </w:rPr>
        <w:t>vitro</w:t>
      </w:r>
      <w:r>
        <w:rPr>
          <w:color w:val="000000"/>
        </w:rPr>
        <w:t xml:space="preserve"> </w:t>
      </w:r>
      <w:r>
        <w:rPr>
          <w:rFonts w:ascii="Times New Roman;sans-serif" w:hAnsi="Times New Roman;sans-serif"/>
          <w:b w:val="false"/>
          <w:color w:val="000000"/>
          <w:sz w:val="20"/>
        </w:rPr>
        <w:t xml:space="preserve">studies, when PD-1+ T cells were cocultured in the presence of NK cells, rosnilimab demonstrated potent depletion of PD-1+ T cells. In separate in </w:t>
      </w:r>
      <w:r>
        <w:rPr>
          <w:rFonts w:ascii="Times New Roman;sans-serif" w:hAnsi="Times New Roman;sans-serif"/>
          <w:b w:val="false"/>
          <w:i/>
          <w:color w:val="000000"/>
          <w:sz w:val="20"/>
        </w:rPr>
        <w:t>vitro</w:t>
      </w:r>
      <w:r>
        <w:rPr>
          <w:color w:val="000000"/>
        </w:rPr>
        <w:t xml:space="preserve"> </w:t>
      </w:r>
      <w:r>
        <w:rPr>
          <w:rFonts w:ascii="Times New Roman;sans-serif" w:hAnsi="Times New Roman;sans-serif"/>
          <w:b w:val="false"/>
          <w:color w:val="000000"/>
          <w:sz w:val="20"/>
        </w:rPr>
        <w:t>studies, in which T cells were stimulated in the presence of only dendritic cells (in the absence of any cells capable of mediating depletion), rosnilimab demonstrated potent agonism properties such as a reduction in PD-1+ T cell proliferation and reduction in secretion of inflammatory cytokines.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Rosnilimab demonstrated a favorable pharmacokinetic (“PK”) profile with an estimated two-week half-life for subcutaneous and IV routes of administration. Full PD-1 receptor occupancy was observed rapidly and was maintained for at least 30 days. Potent and sustained reduction was observed in peripheral PD-1+ T cells for &gt;30 days, including &gt;90% reduction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 cells and a &gt;50% reduction of PD-1+ T cells bringing the overall T cell composition to a less activated state, without meaningfully reducing overall T cell numbers.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2025, we announced top-line data from rosnilimab’s randomized, placebo-controlled, global 424-patient, Phase 2b clinical trial for moderate-to-severe rheumatoid arthritis. Patients were randomized to receive either 100mg of subcutaneous rosnilimab every four weeks (Q4W), 400mg Q4W, 600mg every two weeks (Q2W), or placebo. The trial achieved its primary endpoint of the mean change from baseline in baseline disease activity score -- 28 joints (DAS-28) C-Reactive Protein (CRP) score at Week 12 for all three doses of rosnilimab compared to the placebo.</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Rosnilimab achieved statistical significance in at least one dose and numerical superiority at all doses, including once monthly administration, on key secondary endpoints of ACR20, ACR50 and clinical disease activity index (CDAI) low disease activity (LDA) score at Week 12. Following completion of the Week 14 visit, 69% (or 220 of the 318) rosnilimab-treated patients who achieved CDAI LDA and continued their assigned treatment in a blinded, all-active treatment period as of the December 10, 2024 data cutoff, appeared to show sustained CDAI LDA, ACR50 and ACR70 responses out to end-of-treatment at Week 28. These Phase 2b data to date have demonstrated a favorable safety and tolerability profile.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Translational blood biomarker data, across all doses in the Phase 2b trial, showed similar immunological impact with robust on-target pharmacological activity in rosnilimab-treated patients that was not observed in patients on placebo. Rosnilimab demonstrated rapid and sustained reduction of approximately 90%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 cells and approximately 50% of PD-1+ T cells, and an increase in total Tregs. Additionally, an approximate 50% reduction in the mean CRP from baseline was observed in rosnilimab-treated patients through the entire trial period that was not observed in patients on placebo.</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conducting a randomized placebo-controlled 132-patient, global Phase 2 trial assessing two dose levels of subcutaneously administered rosnilimab in moderate-to-severe UC. Rosnilimab will be dosed for up to 48 weeks on well-established endpoints including clinical remission on the modified Mayo score (“mMS”), clinical response on the mMS and endoscopic remission. We anticipate reporting top-line data on the primary endpoint at Week 12 in the UC trial in the fourth quarter of 2025.</w:t>
      </w:r>
    </w:p>
    <w:p>
      <w:pPr>
        <w:pStyle w:val="TextBody"/>
        <w:bidi w:val="0"/>
        <w:spacing w:lineRule="auto" w:line="288" w:before="12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ANB033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ANB033 targets CD122, the common beta subunit shared by the IL-15 and IL-2 receptors. IL-15 and IL-2 signaling mediate the proliferation and survival of NK cells and certain CD8 T cell subsets. ANB033 is an antibody designed with an 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the potential to achieve and maintain remission of inflammation through the reduction of disease-causing NK cells and certain CD8 T cell subsets, while sparing regulatory T cells. By preventing the consumption of IL-2 by pathogenic cells that express the low affinity IL-2 receptor, circulating levels of IL-2 may increase, potentially enhancing regulatory T cell numbers that express the high affinity IL-2 receptor in the setting of inflammation. We initiated a Phase 1 clinical trial of ANB033 in October 2024.</w:t>
      </w:r>
    </w:p>
    <w:p>
      <w:pPr>
        <w:pStyle w:val="TextBody"/>
        <w:bidi w:val="0"/>
        <w:spacing w:lineRule="auto" w:line="288" w:before="12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ANB101</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Blood dendritic cell antigen 2 (“BDCA2”) is a molecule specifically expressed on plasmacytoid dendritic cells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 We plan to initiate enrollment for a Phase 1 clinical trial in the first quarter of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Collaborative Programs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GSK Collaboration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Multiple company-discovered antibody programs have been advanced to preclinical and clinical milestones under our collaborations. Our collaborations include an immuno-oncology-focused collaboration with GSK.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Under the GSK Agreement, a Biologics License Application (“BLA”) for our most advanced partnered program, which is a PD-1 antagonist antibody called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for use in women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 xml:space="preserve">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in pan-deficient mismatch repair tumors (PdMMRT). In July 2023, the FDA approved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in combination with chemotherapy for the treatment of adult patients with dMMR MSI-H primary advanced or recurrent endometrial cancer. In December 2023, the EMA approved, in the EU,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plus chemotherapy for dMMR/MSI-H primary advanced or recurrent endometrial cancer. In August 2024, the FDA approved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 xml:space="preserve">plus chemotherapy for all adult patients with primary advanced or recurrent endometrial cancer. In January 2025, the EMA approved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plus chemotherapy for this same indication.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For the year ended December 31, 2024, GSK reported $598.0 million sales for </w:t>
      </w:r>
      <w:r>
        <w:rPr>
          <w:rFonts w:ascii="Times New Roman;sans-serif" w:hAnsi="Times New Roman;sans-serif"/>
          <w:b w:val="false"/>
          <w:i/>
          <w:color w:val="000000"/>
          <w:sz w:val="20"/>
        </w:rPr>
        <w:t>Jemperli</w:t>
      </w:r>
      <w:r>
        <w:rPr>
          <w:rFonts w:ascii="Times New Roman;sans-serif" w:hAnsi="Times New Roman;sans-serif"/>
          <w:b w:val="false"/>
          <w:color w:val="000000"/>
          <w:sz w:val="20"/>
        </w:rPr>
        <w:t>, a greater than 200% sales growth when compared to $175.6 million for the year ended December 31,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the collaboration, GSK is developing dostarlimab in combination with another development program from the GSK Agreement, including cobolimab, a 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the first half of 2025.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Vanda Pharmaceuticals Collaboration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2025, we entered into an Exclusive License Agreement (the “License Agreement”) with Vanda Pharmaceuticals Inc.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License Agreement, we will receive an upfront payment of $10.0 million and a $5.0 million payment for existing drug supply. Anaptys is also eligible to receive up to $35.0 million for future regulatory approval and sales milestones in addition to a 10% royalty on net sales.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these collaborations, see “— Collaborations” included in Part I, Item 1 of this Annual Report.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an accumulated deficit of $759.3 million, primarily as a result of losses incurred since our inception in 2005.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discussion related to the results of our operations and liquidity and capital resources for fiscal year ended December 31, 2023 compared to the year ended December 31, 2022, please refer to Part II, Item 7, “Management’s Discussion and Analysis of Financial Condition and Results of Operations”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Collaboration Revenue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December 31, 2024, we have recognized $346.5 million in revenue from our collaborators.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Collaboration and Exclusive License Agreement with GSK</w:t>
      </w:r>
    </w:p>
    <w:p>
      <w:pPr>
        <w:pStyle w:val="TextBody"/>
        <w:bidi w:val="0"/>
        <w:spacing w:lineRule="auto" w:line="268" w:before="120" w:after="283"/>
        <w:ind w:left="0" w:right="0" w:firstLine="540"/>
        <w:jc w:val="left"/>
        <w:rPr/>
      </w:pPr>
      <w:r>
        <w:rPr>
          <w:rFonts w:ascii="Times New Roman;sans-serif" w:hAnsi="Times New Roman;sans-serif"/>
          <w:b w:val="false"/>
          <w:color w:val="000000"/>
          <w:sz w:val="20"/>
        </w:rPr>
        <w:t xml:space="preserve">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(dostarlimab) as a monotherapy for various solid tumor indications. In addition, GSK is developing dostarlimab in combination with additional therapies under the collaboration, including with another development program from the GSK Agreement: cobolimab, a TIM-3 antibody, in 2L NSCLC. In October 2023, Amendment No. 5 to the GSK Agreement (the “GSK Amendment No. 5”) was agreed by both parties to terminate the LAG-3 antagonist antibody development program under the GSK Agreement. In accordance with the GSK Agreement and the GSK Amendment No. 5, we have regained full global rights to the LAG-3 antagonist antibody development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For each remaining development program under the GSK Agreement, we are eligible to receive milestone payments if certain preclinical and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 3, we were granted increased royalties upon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In October 2021, we signed a royalty monetization agreement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 xml:space="preserve">Royalty Monetization Agreement”) with Sagard Healthcare Royalty Partners, LP (“Sagard”). Under the terms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we received $250.0 million in exchange for royalties and milestones payable to us under our GSK collaboration on annual global net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We retained the rights to a $75.0 million sales milestone when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annual Net Sales exceed $1 billion.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In May 2024, we entered into an amendment 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Amendment No. 1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under which we sold additional receivables to Sagard in exchange for $50.0 million.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includes all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sales, including any product containing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whether or not such product constitutes a combination product, and the threshold amounts of aggregate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 xml:space="preserve">royalties and milestones to be received by Sagard under the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 xml:space="preserve">Amendment is either $600.0 million if received by the end of March 31, 2031, or $675.0 million if received thereafter. Once either of these thresholds are met,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will expire, resulting in us regaining all subsequent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royalties and milestones. As of January 31, 2025, Sagard has received a total of $88.8 million in royalties and milestones. For more information see Note 5 — Sale of Future Royalties in the accompanying notes to the consolidated financial statements included in Part II, Item 8, “Consolidated Financial Statements and Supplementary Data” of this Annual Report on Form 10-K.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Milestones under the GSK Agreement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22"/>
        <w:gridCol w:w="1473"/>
        <w:gridCol w:w="1479"/>
        <w:gridCol w:w="303"/>
        <w:gridCol w:w="299"/>
        <w:gridCol w:w="282"/>
        <w:gridCol w:w="487"/>
        <w:gridCol w:w="487"/>
        <w:gridCol w:w="503"/>
        <w:gridCol w:w="109"/>
        <w:gridCol w:w="109"/>
        <w:gridCol w:w="109"/>
        <w:gridCol w:w="342"/>
        <w:gridCol w:w="322"/>
        <w:gridCol w:w="321"/>
        <w:gridCol w:w="497"/>
        <w:gridCol w:w="497"/>
        <w:gridCol w:w="485"/>
        <w:gridCol w:w="109"/>
        <w:gridCol w:w="109"/>
        <w:gridCol w:w="161"/>
      </w:tblGrid>
      <w:tr>
        <w:trPr/>
        <w:tc>
          <w:tcPr>
            <w:tcW w:w="1722"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PD-1</w:t>
            </w:r>
          </w:p>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i/>
                <w:color w:val="000000"/>
                <w:sz w:val="16"/>
              </w:rPr>
              <w:t>Jemperli</w:t>
            </w:r>
            <w:r>
              <w:rPr>
                <w:rFonts w:ascii="Times New Roman;sans-serif" w:hAnsi="Times New Roman;sans-serif"/>
                <w:b/>
                <w:color w:val="000000"/>
                <w:sz w:val="16"/>
              </w:rPr>
              <w:t xml:space="preserve">/Dostarlimab)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TIM-3</w:t>
              <w:br/>
              <w:t>(GSK4069889/Cobolimab)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Milestone Event</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Initiated </w:t>
            </w:r>
            <w:r>
              <w:rPr>
                <w:rFonts w:ascii="Times New Roman;sans-serif" w:hAnsi="Times New Roman;sans-serif"/>
                <w:b w:val="false"/>
                <w:i/>
                <w:color w:val="000000"/>
                <w:sz w:val="16"/>
              </w:rPr>
              <w:t>in vivo</w:t>
            </w:r>
            <w:r>
              <w:rPr>
                <w:color w:val="000000"/>
              </w:rPr>
              <w:t xml:space="preserve"> </w:t>
            </w:r>
            <w:r>
              <w:rPr>
                <w:rFonts w:ascii="Times New Roman;sans-serif" w:hAnsi="Times New Roman;sans-serif"/>
                <w:b w:val="false"/>
                <w:color w:val="000000"/>
                <w:sz w:val="16"/>
              </w:rPr>
              <w:t>toxicology studies using good laboratory practices (GLPs)</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 clearance from the FDA</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2 clinical trial initiation</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first indication</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second indication</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BLA</w:t>
            </w: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first indication</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MAA</w:t>
            </w: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first indication</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Filing of the first BLA - second indication</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first indication</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First MAA approval - first indication</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second indication</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Filing of the first MAA - second indication</w:t>
            </w:r>
            <w:r>
              <w:rPr>
                <w:rFonts w:ascii="Times New Roman;sans-serif" w:hAnsi="Times New Roman;sans-serif"/>
                <w:b w:val="false"/>
                <w:color w:val="000000"/>
                <w:sz w:val="10"/>
              </w:rPr>
              <w:t>(3)</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MAA approval - second indication</w:t>
            </w:r>
            <w:r>
              <w:rPr>
                <w:rFonts w:ascii="Times New Roman;sans-serif" w:hAnsi="Times New Roman;sans-serif"/>
                <w:b w:val="false"/>
                <w:color w:val="000000"/>
                <w:sz w:val="10"/>
              </w:rPr>
              <w:t>(3)</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commercial sales milestone</w:t>
            </w:r>
            <w:r>
              <w:rPr>
                <w:rFonts w:ascii="Times New Roman;sans-serif" w:hAnsi="Times New Roman;sans-serif"/>
                <w:b w:val="false"/>
                <w:color w:val="000000"/>
                <w:sz w:val="10"/>
              </w:rPr>
              <w:t>(3)</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Second commercial sales milestone</w:t>
            </w:r>
            <w:r>
              <w:rPr>
                <w:rFonts w:ascii="Times New Roman;sans-serif" w:hAnsi="Times New Roman;sans-serif"/>
                <w:b w:val="false"/>
                <w:color w:val="000000"/>
                <w:sz w:val="10"/>
              </w:rPr>
              <w:t>(3)</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Third commercial sales milestone</w:t>
            </w:r>
            <w:r>
              <w:rPr>
                <w:rFonts w:ascii="Times New Roman;sans-serif" w:hAnsi="Times New Roman;sans-serif"/>
                <w:b w:val="false"/>
                <w:color w:val="000000"/>
                <w:sz w:val="10"/>
              </w:rPr>
              <w:t>(3)</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Fourth commercial sales milestone</w:t>
            </w:r>
            <w:r>
              <w:rPr>
                <w:rFonts w:ascii="Times New Roman;sans-serif" w:hAnsi="Times New Roman;sans-serif"/>
                <w:b w:val="false"/>
                <w:color w:val="000000"/>
                <w:sz w:val="10"/>
              </w:rPr>
              <w:t>(4)</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recognized through December 31, 2024</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$133.0M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that may be recognized in the future</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Biologics License Application (“BLA”)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Marketing Authorization Application (“MAA”)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For </w:t>
      </w:r>
      <w:r>
        <w:rPr>
          <w:rFonts w:ascii="Times New Roman;sans-serif" w:hAnsi="Times New Roman;sans-serif"/>
          <w:b w:val="false"/>
          <w:i/>
          <w:color w:val="000000"/>
          <w:sz w:val="20"/>
        </w:rPr>
        <w:t>Jemperli</w:t>
      </w:r>
      <w:r>
        <w:rPr>
          <w:rFonts w:ascii="Times New Roman;sans-serif" w:hAnsi="Times New Roman;sans-serif"/>
          <w:b w:val="false"/>
          <w:color w:val="000000"/>
          <w:sz w:val="20"/>
        </w:rPr>
        <w:t>, the filing and approval of the first MAA for a second indication and first three commercial sales milestones are included as part of the royalty monetization agreement with Sagard, see Note 5.</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For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we retained the rights to a $75.0 million sales milestone when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annual Net Sales exceed $1 billion.</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2020 Amendment, in October 2020 GSK agreed, under the terms of a settlement agreement (the “GSK Settlement Agreement”), to pay us a royalty on all GSK net sales of Zejula starting January 1, 2021. Under the GSK Settlement Agreement, the royalty is paid at a rate of 1% but is subject to reduction due to royalties paid to third parties, with a minimum royalty payable under the GSK Settlement Agreement of 0.5% of global net sales of Zejula. The current effective royalty rate is 0.5%. In September 2022, we signed a royalty monetization agreement (the “Zejula Royalty Monetization Agreement”) with a wholly 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FDA for the treatment of endometrial cancer on or prior to December 31, 2025.</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External research and development expenses incurred under arrangements with third parties, such as contract research organizations (“CROs”), consultants, members of our scientific and therapeutic advisory boards, and contract manufacturing organizations (“CMOs”);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Employee-related expenses, including salaries, benefits, travel, and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Facilities, depreciation and other allocated expenses, which include direct and allocated expenses for rent and maintenance of facilities, depreciation of leasehold improvements and equipment, and laboratory supplies; and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License and sub-license fees.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incur in-process research and development expense as we acquire assets from other parties. Acquired in-process research and development costs that have no alternative future use are immediately expensed.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toxicology and pharmacology studies, drug product manufacturing, and clinical trials.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be higher for the foreseeable future as we continue to advance our product candidates.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Non-Cash Interest Expense for the Sale of Future Royalties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the Zejula Royalty Monetization Agreement (the “Royalty Monetization” Agreements). Our estimate of the interest rate under the arrangements is based on forecasted royalty and milestone payments expected to be made over the life of the agreements.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earned on our short-term and long-term investments and is recognized when earned.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Operating Loss and Research and Development Tax Credit Carryforwards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accumulated net operating losses (“NOLs”) in all years except December 31, 2024, 2022, 2015 and 2014, in which we generated taxable income primarily attributable to our collaboration agreement with GSK, our Zejula Royalty Monetization Agreement in 2022, and the requirement to capitalize and amortize R&amp;D expenditure for tax purposes in 2022 and 2024. While we utilized NOLs in 2024, 2022, 2015 and 2014, we continue to incur losses and therefore continue to have a valuation allowance against our net deferred tax assets due to the uncertainty of the realization of such assets.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federal and state NOL carryforwards of $300.7 million and $73.0 million, respectively. The federal and state NOLs generated prior to 2018 will begin to expire in 2031 and 2028, respectively, unless previously utilized. The federal NOL includes $262.0 million of net operating losses generated in 2018 and after. Federal net operating losses generated in 2018 and after carryover indefinitely and may generally be used to offset up to 80% of future taxable income. As of December 31, 2024, we had federal and state research tax credit carryforwards of approximately $18.6 million and $17.4 million, respectively. The federal research tax credit carryforwards will begin to expire in 2041 and the state research tax credits carryforward indefinitely.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above NOL carryforward and the federal and state research credit carryforwards may be subject to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ownership changes as defined by Section 382 of the Code during 2007, 2017 and 2021. As a result, as of December 31, 2024, there are $114.6 million of federal NOLs available to offset taxable income in future years without Section 382 limitation, while $186.1 million of federal NOLs are subject to annual limitations over future periods. State NOL and credit carryforwards may be similarly limited.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above NOL carryforward and the federal and state research credit carryforwards may be subject to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in accordance with ASC 606,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 </w:t>
      </w:r>
    </w:p>
    <w:p>
      <w:pPr>
        <w:pStyle w:val="TextBody"/>
        <w:bidi w:val="0"/>
        <w:spacing w:lineRule="auto" w:line="288" w:before="120" w:after="283"/>
        <w:ind w:left="0" w:right="0" w:firstLine="630"/>
        <w:jc w:val="left"/>
        <w:rPr/>
      </w:pPr>
      <w:r>
        <w:rPr>
          <w:rFonts w:ascii="Times New Roman;sans-serif" w:hAnsi="Times New Roman;sans-serif"/>
          <w:b w:val="false"/>
          <w:i/>
          <w:color w:val="000000"/>
          <w:sz w:val="20"/>
        </w:rPr>
        <w:t>Performance Obligations.</w:t>
      </w:r>
      <w:r>
        <w:rPr>
          <w:color w:val="000000"/>
        </w:rPr>
        <w:t xml:space="preserve"> </w:t>
      </w:r>
      <w:r>
        <w:rPr>
          <w:rFonts w:ascii="Times New Roman;sans-serif" w:hAnsi="Times New Roman;sans-serif"/>
          <w:b w:val="false"/>
          <w:color w:val="000000"/>
          <w:sz w:val="20"/>
        </w:rPr>
        <w:t>We evaluate promised goods or services on a contract-by-contract basis to determine whether each deliverable represents a good or service that is distinct or has the same pattern of transfer as other deliverables. A promised good or service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promised good or service is not considered distinct, we combine such deliverables and account for them as a single performance obligation. We allocate the consideration to each performance obligation at the inception of the arrangement based on the stand alone selling price.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obligations may include the following: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Steering Committee Meetings. The performance obligations under our collaboration and license agreements may also include our participation in a steering committee, which allows us to direct the progression of our discovery programs. As these steering committees would not occur or benefit the customer without the use of our licenses, these are not considered distinct.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consideration allocated to a performance obligation as the performance obligation is satisfied, and the determination as to whether consideration is recognized over time or at a point in time is made upon contract inception.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agreements, this is generally over the period in which research and development services have been performed. There were no new agreements with performance obligations entered into during the year ended December 31, 2024.</w:t>
      </w:r>
    </w:p>
    <w:p>
      <w:pPr>
        <w:pStyle w:val="TextBody"/>
        <w:bidi w:val="0"/>
        <w:spacing w:lineRule="auto" w:line="288" w:before="120" w:after="283"/>
        <w:ind w:left="0" w:right="0" w:firstLine="630"/>
        <w:jc w:val="left"/>
        <w:rPr/>
      </w:pPr>
      <w:r>
        <w:rPr>
          <w:rFonts w:ascii="Times New Roman;sans-serif" w:hAnsi="Times New Roman;sans-serif"/>
          <w:b w:val="false"/>
          <w:i/>
          <w:color w:val="000000"/>
          <w:sz w:val="20"/>
        </w:rPr>
        <w:t xml:space="preserve">Transaction Price. </w:t>
      </w:r>
      <w:r>
        <w:rPr>
          <w:rFonts w:ascii="Times New Roman;sans-serif" w:hAnsi="Times New Roman;sans-serif"/>
          <w:b w:val="false"/>
          <w:color w:val="000000"/>
          <w:sz w:val="20"/>
        </w:rPr>
        <w:t xml:space="preserve">Our collaboration and license agreements generally include both fixed and variable consideration. Fixed payments, such as 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 Expenses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Sale of Future Royalties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treated the sale of future revenue from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as amended by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with Sagard and the Zejula Royalty Monetization Agreement with DRI as a liability related to the sale of future royalties on the balance sheet. The recorded upfront proceeds, net of transaction costs, will be amortized under the effective interest rate method over the estimated life of the related expected royalty stream.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and Zejula, and we will record the royalty payments made as a reduction of the liability when paid. As such payments are made, the balance of the liability will be effectively repaid over the life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the Zejula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Recently Issued Accounting Pronouncements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on recently issued accounting pronouncements, see Note 2 — Summary of Significant Accounting Policies in the accompanying notes to the consolidated financial statements included in Part II, Item 8, “Consolidated Financial Statements and Supplementary Data”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Collaboration Revenue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Collaboration revenue was $91.3 million for the year ended December 31, 2024, compared to $17.2 million for the year ended December 31, 2023. A comparison of collaboration revenue is as follows: </w:t>
      </w:r>
    </w:p>
    <w:tbl>
      <w:tblPr>
        <w:tblW w:w="6725" w:type="dxa"/>
        <w:jc w:val="left"/>
        <w:tblInd w:w="0" w:type="dxa"/>
        <w:tblLayout w:type="fixed"/>
        <w:tblCellMar>
          <w:top w:w="28" w:type="dxa"/>
          <w:left w:w="28" w:type="dxa"/>
          <w:bottom w:w="28" w:type="dxa"/>
          <w:right w:w="28" w:type="dxa"/>
        </w:tblCellMar>
      </w:tblPr>
      <w:tblGrid>
        <w:gridCol w:w="910"/>
        <w:gridCol w:w="804"/>
        <w:gridCol w:w="805"/>
        <w:gridCol w:w="109"/>
        <w:gridCol w:w="109"/>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91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Increase</w:t>
            </w:r>
          </w:p>
        </w:tc>
        <w:tc>
          <w:tcPr>
            <w:tcW w:w="1323"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 Milestones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GSK Royalty Revenue - </w:t>
            </w:r>
            <w:r>
              <w:rPr>
                <w:rFonts w:ascii="Times New Roman;sans-serif" w:hAnsi="Times New Roman;sans-serif"/>
                <w:b w:val="false"/>
                <w:i/>
                <w:color w:val="000000"/>
                <w:sz w:val="18"/>
              </w:rPr>
              <w:t>Jemperli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 Royalty Revenue - Zejula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collaboration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left"/>
        <w:rPr/>
      </w:pPr>
      <w:r>
        <w:rPr>
          <w:rFonts w:ascii="Times New Roman;sans-serif" w:hAnsi="Times New Roman;sans-serif"/>
          <w:b w:val="false"/>
          <w:color w:val="000000"/>
          <w:sz w:val="20"/>
        </w:rPr>
        <w:t xml:space="preserve">Collaboration revenue during the year ended December 31, 2024 increased $74.1 million compared to the year ended December 31, 2023 due to an increase of $40.0 million in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sales milestones, $33.6 million increase in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revenue and $0.5 million increase in Zejula royalty revenue.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any collaboration revenue we generate will continue to fluctuate from period to period as a result of the timing and amount of milestones and royalties from our existing collaborations.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were $163.8 million during the year ended December 31, 2024 compared to $132.3 million during the year ended December 31, 2023, for an increase of $31.5 million. The increase is primarily attributable to a $31.6 million increase in clinical expenses, a $13.6 million increase in salaries and related costs, including $4.7 million in stock compensation expense, and a $1.4 million increase in other research and development expenses, offset by a decrease of $15.1 million in outside services for manufacturing expenses.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tbl>
      <w:tblPr>
        <w:tblW w:w="7101" w:type="dxa"/>
        <w:jc w:val="left"/>
        <w:tblInd w:w="0" w:type="dxa"/>
        <w:tblLayout w:type="fixed"/>
        <w:tblCellMar>
          <w:top w:w="28" w:type="dxa"/>
          <w:left w:w="28" w:type="dxa"/>
          <w:bottom w:w="28" w:type="dxa"/>
          <w:right w:w="28" w:type="dxa"/>
        </w:tblCellMar>
      </w:tblPr>
      <w:tblGrid>
        <w:gridCol w:w="1015"/>
        <w:gridCol w:w="894"/>
        <w:gridCol w:w="896"/>
        <w:gridCol w:w="196"/>
        <w:gridCol w:w="736"/>
        <w:gridCol w:w="109"/>
        <w:gridCol w:w="109"/>
        <w:gridCol w:w="109"/>
        <w:gridCol w:w="109"/>
        <w:gridCol w:w="196"/>
        <w:gridCol w:w="736"/>
        <w:gridCol w:w="109"/>
        <w:gridCol w:w="109"/>
        <w:gridCol w:w="109"/>
        <w:gridCol w:w="109"/>
        <w:gridCol w:w="307"/>
        <w:gridCol w:w="1012"/>
        <w:gridCol w:w="241"/>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External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Rosnilimab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ANB032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ANB033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ANB101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Imsidolimab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Preclinical and other unallocated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External Costs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31,557 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were $42.4 million during the year ended December 31, 2024 compared to $41.9 million during the year ended December 31, 2023, for an increase of approximately $0.5 million. The increase is primarily due to a $2.7 million increase in personnel costs, a $1.1 million increase in market research costs, and $0.8 million increase in legal and other general and administrative expenses, offset by a $3.8 million decrease in stock compensation expense, and a $0.3 million decrease in insurance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Acquired in-process research and development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 expenses were $0.0 million for the year ended December 31, 2024 compared to $7.3 million for the year ended December 31, 2023 due to the assets purchased pursuant to the Centessa Agreement. For more information see Note 4 — Collaborative Research and Development Agreements in the accompanying notes to the consolidated financial statements included in Part II, Item 8, “Consolidated Financial Statements and Supplementary Data” of this Annual Report on Form 10-K.</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Non-Cash Interest Expense for the Sale of Future Royalties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Interest expense was $50.1 million during the year ended December 31, 2024 compared to $18.1 million during the year ended December 31, 2023. The increase of $32.0 million in non-cash interest expense is primarily due 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which increased the threshold amounts of aggregate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royalties and milestones to be received by Sagard.</w:t>
      </w:r>
    </w:p>
    <w:p>
      <w:pPr>
        <w:pStyle w:val="TextBody"/>
        <w:bidi w:val="0"/>
        <w:spacing w:lineRule="auto" w:line="288" w:before="240" w:after="283"/>
        <w:ind w:left="0" w:right="0" w:firstLine="270"/>
        <w:jc w:val="left"/>
        <w:rPr/>
      </w:pPr>
      <w:r>
        <w:rPr>
          <w:rFonts w:ascii="Times New Roman;sans-serif" w:hAnsi="Times New Roman;sans-serif"/>
          <w:b/>
          <w:i/>
          <w:color w:val="000000"/>
          <w:sz w:val="20"/>
        </w:rPr>
        <w:t>Interest Income</w:t>
      </w:r>
      <w:r>
        <w:rPr>
          <w:color w:val="000000"/>
        </w:rPr>
        <w:t xml:space="preserv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was $19.8 million during the year ended December 31, 2024 compared to $18.9 million during the year ended December 31, 2023. The increase of $0.9 million in interest income was primarily related to our short-term and long-term investments. The increase in interest income is primarily due to the timing of sales, maturities and purchases of our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our inception through December 31, 2024, we have received an aggregate of $1.3 billion to fund our operations, which included $738.1 million from the sale of equity securities, $335.0 million from the sale of future royalties, $234.2 million from our collaboration agreements and $19.1 million from venture debt. As of December 31, 2024, we had $420.8 million in cash, cash equivalents and investments.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and the GSK Settlement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In October 2021, we signed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with Sagard. Pursuant to this transaction we received a $250.0 million payment upon closing in December 2021, in exchange for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royalties due to us on annual commercial sales below $1.0 billion and certain future milestones starting in October 2021. In May 2024, we entered into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under which we sold additional receivables to Sagard in exchange for $50.0 million.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includes all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sales, including any product containing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whether or not such product constitutes a combination product, and the threshold amounts of aggregate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royalties and milestones to be received by Sagard under the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Amendment is</w:t>
      </w:r>
      <w:r>
        <w:rPr>
          <w:color w:val="000000"/>
        </w:rPr>
        <w:t xml:space="preserve"> </w:t>
      </w:r>
      <w:r>
        <w:rPr>
          <w:rFonts w:ascii="Times New Roman;sans-serif" w:hAnsi="Times New Roman;sans-serif"/>
          <w:b w:val="false"/>
          <w:color w:val="000000"/>
          <w:sz w:val="20"/>
        </w:rPr>
        <w:t xml:space="preserve">either $600.0 million if received by the end of March 31, 2031, or $675.0 million if received thereafter. Once either of these thresholds are met,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will expire, resulting in us regaining all subsequent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royalties and milestones. We treated the sale of future revenue from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(as amended) with Sagard as debt, which will be amortized under the effective interest rate method over the estimated life of the related expected royalty stream.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The proceeds received from Sagard of $250.0 million and $50.0 million were recorded as a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and these payments to Sagard will be recorded as a reduction of the liability when paid. As such payments are made to Sagard, the balance of the liability will be effectively repaid over the life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we signed the Zejula Royalty Monetization Agreement with DRI. Pursuant to this transaction we received a $35.0 million payment in exchange for all royalties payable by GSK to us under the GSK Settlement Agreement on global net sales of Zejula starting in July 2022. We treated the sale of future revenue from the Zejula Royalty Monetization Agreement with DRI as debt, which will be amortized under the effective interest rate method over the estimated life of the related expected royalty stream. We recorded the upfront proceeds of $35.0 million, net of $0.2 million of transaction costs, as a liability related to the sale of future revenue. The liability and the related interest expense are based on our current estimates of future royalties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Monetization Agreement. Royalty revenue will be recognized as earned on net sales of Zejula, and we will record the royalty payments to DRI as a reduction of the liability when paid. As such payments are made to DRI, the balance of the liability will be effectively repaid over the life of the Zejula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we entered into a sales agreement with TD Securities (USA) LLC (“TD Cowen”), through which we may offer and sell shares of our common stock, having an aggregate offering of up to $100.0 million through TD Cowen as our sales agent. As of December 31, 2024, we had sold no shares under this agreement.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2024, we entered into an underwriting agreement with TD Cowen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Funding Requirements</w:t>
      </w:r>
    </w:p>
    <w:p>
      <w:pPr>
        <w:pStyle w:val="TextBody"/>
        <w:bidi w:val="0"/>
        <w:spacing w:lineRule="auto" w:line="288" w:before="120" w:after="283"/>
        <w:ind w:left="0" w:right="0" w:firstLine="63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capital are, and we expect will continue to be, third 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 totaled $420.8 million as of December 31, 2024, compared to $417.9 million as of December 31, 2023.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years ended December 31, 2024 and 2023: </w:t>
      </w:r>
    </w:p>
    <w:tbl>
      <w:tblPr>
        <w:tblW w:w="7351" w:type="dxa"/>
        <w:jc w:val="left"/>
        <w:tblInd w:w="0" w:type="dxa"/>
        <w:tblLayout w:type="fixed"/>
        <w:tblCellMar>
          <w:top w:w="28" w:type="dxa"/>
          <w:left w:w="28" w:type="dxa"/>
          <w:bottom w:w="28" w:type="dxa"/>
          <w:right w:w="28" w:type="dxa"/>
        </w:tblCellMar>
      </w:tblPr>
      <w:tblGrid>
        <w:gridCol w:w="1562"/>
        <w:gridCol w:w="1377"/>
        <w:gridCol w:w="1380"/>
        <w:gridCol w:w="211"/>
        <w:gridCol w:w="901"/>
        <w:gridCol w:w="109"/>
        <w:gridCol w:w="109"/>
        <w:gridCol w:w="109"/>
        <w:gridCol w:w="109"/>
        <w:gridCol w:w="211"/>
        <w:gridCol w:w="901"/>
        <w:gridCol w:w="109"/>
        <w:gridCol w:w="109"/>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(35,343)</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year ended December 31, 2024 was $135.3 million, primarily due to our net loss of $145.2 million, adjusted for addbacks for non-cash items of $76.2 million which includes stock-based compensation, amortization of operating right-of-use assets, non-cash interest expense, and income from marketable securities, offset by decreases in working capital of $66.3 million. </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year ended December 31, 2023 was $120.8 million, primarily due to our net loss of $163.6 million, adjusted for addbacks for non-cash items of $43.1 million which includes stock-based compensation, amortization of operating right-of-use assets, non-cash interest expense, and income from marketable securities and increases in working capital of $0.2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during the year ended December 31, 2024 was $95.4 million, primarily due to the sale and maturities of investments of $476.1 million, offset by the acquisition of investments of $380.4 million and the purchases of property and equipment of approximately $0.3 million.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during the year ended December 31, 2023 was $144.8 million, primarily due to the sale and maturities of investments of $449.5 million, offset by the acquisition of investments of $303.9 million and the purchases of property and equipment of approximately $0.8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during the year ended December 31, 2024 was $127.1 million, primarily related to $94.4 million of proceeds received from public offerings, net of underwriters’ fees, $50.0 million received for the sale of future royalties, $6.5 million of cash received for the issuance of common stock, offset by $15.2 million for repayments of the liability for the sale of future royalties, $7.5 million for net share settlement of equity awards, $0.5 million paid for repurchases and retirements of common stock excise tax, and $0.6 million payments for offering and debt issuance costs.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during the year ended December 31, 2023 was $59.3 million, primarily related to $50.0 million paid for repurchases and retirements of common stock, $11.8 million for repayments of the liability for the sale of future royalties and debt issuance costs, offset by $2.5 million proceeds received from the issuance of common stock.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related to our operating lease, see Note 10 — Commitments and Contingencies in the accompanying notes to the consolidated financial statements included in Part II, Item 8, “Consolidated Financial Statements and Supplementary Data”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As of December 31, 2024, our investment portfolio includes cash, cash equivalents, and investments of $420.8 million that earn interest at market rates. Our investments held during the year were comprised of highly rated instruments such as money market funds, certificates of deposit, agency securities, commercial obligations and U.S. Treasury securities. As of December 31, 2024, the majority of these instruments had a maturity of less than a year. A hypothetical increase or decrease of 100 basis points on the interest rates of our investments would not have a material effect on the fair value of our investment portfolio and any losses would only be realized if we sold the investments prior to maturity.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December 31, 2024, we had no material accounts payable or receivable denominated in foreign currencies, and a hypothetical 10% change in foreign currency exchange rates applicable to our business would not have had a material impact on our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clinical trial and other operational costs. We do not believe that inflation has had a material effect on our business, financial condition or results of operations during the years ended December 31, 2024, 2023 or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Consolidated Financial Statements and Supplementary Data</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Audited Consolidated Financial Statements</w:t>
      </w:r>
    </w:p>
    <w:p>
      <w:pPr>
        <w:pStyle w:val="TextBody"/>
        <w:bidi w:val="0"/>
        <w:spacing w:lineRule="auto" w:line="288" w:before="0" w:after="0"/>
        <w:jc w:val="left"/>
        <w:rPr>
          <w:color w:val="000000"/>
        </w:rPr>
      </w:pPr>
      <w:r>
        <w:rPr>
          <w:color w:val="000000"/>
        </w:rPr>
        <w:t> </w:t>
      </w:r>
    </w:p>
    <w:tbl>
      <w:tblPr>
        <w:tblW w:w="6207" w:type="dxa"/>
        <w:jc w:val="left"/>
        <w:tblInd w:w="0" w:type="dxa"/>
        <w:tblLayout w:type="fixed"/>
        <w:tblCellMar>
          <w:top w:w="28" w:type="dxa"/>
          <w:left w:w="28" w:type="dxa"/>
          <w:bottom w:w="28" w:type="dxa"/>
          <w:right w:w="28" w:type="dxa"/>
        </w:tblCellMar>
      </w:tblPr>
      <w:tblGrid>
        <w:gridCol w:w="1943"/>
        <w:gridCol w:w="1708"/>
        <w:gridCol w:w="1718"/>
        <w:gridCol w:w="109"/>
        <w:gridCol w:w="109"/>
        <w:gridCol w:w="109"/>
        <w:gridCol w:w="149"/>
        <w:gridCol w:w="149"/>
        <w:gridCol w:w="213"/>
      </w:tblGrid>
      <w:tr>
        <w:trPr/>
        <w:tc>
          <w:tcPr>
            <w:tcW w:w="1943"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85">
              <w:r>
                <w:rPr>
                  <w:rStyle w:val="InternetLink"/>
                  <w:rFonts w:ascii="Times New Roman;sans-serif" w:hAnsi="Times New Roman;sans-serif"/>
                  <w:b w:val="false"/>
                  <w:color w:val="0000FF"/>
                  <w:sz w:val="20"/>
                  <w:u w:val="single"/>
                </w:rPr>
                <w:t>Report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85">
              <w:r>
                <w:rPr>
                  <w:rStyle w:val="InternetLink"/>
                  <w:rFonts w:ascii="Times New Roman;sans-serif" w:hAnsi="Times New Roman;sans-serif"/>
                  <w:b w:val="false"/>
                  <w:strike w:val="false"/>
                  <w:dstrike w:val="false"/>
                  <w:color w:val="000000"/>
                  <w:sz w:val="20"/>
                  <w:u w:val="none"/>
                  <w:effect w:val="none"/>
                </w:rPr>
                <w:t>67</w:t>
              </w:r>
            </w:hyperlink>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88">
              <w:r>
                <w:rPr>
                  <w:rStyle w:val="InternetLink"/>
                  <w:rFonts w:ascii="Times New Roman;sans-serif" w:hAnsi="Times New Roman;sans-serif"/>
                  <w:b w:val="false"/>
                  <w:color w:val="0000FF"/>
                  <w:sz w:val="20"/>
                  <w:u w:val="single"/>
                </w:rPr>
                <w:t>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88">
              <w:r>
                <w:rPr>
                  <w:rStyle w:val="InternetLink"/>
                  <w:rFonts w:ascii="Times New Roman;sans-serif" w:hAnsi="Times New Roman;sans-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88">
              <w:r>
                <w:rPr>
                  <w:rStyle w:val="InternetLink"/>
                  <w:rFonts w:ascii="Times New Roman;sans-serif" w:hAnsi="Times New Roman;sans-serif"/>
                  <w:b w:val="false"/>
                  <w:strike w:val="false"/>
                  <w:dstrike w:val="false"/>
                  <w:color w:val="000000"/>
                  <w:sz w:val="20"/>
                  <w:u w:val="none"/>
                  <w:effect w:val="none"/>
                </w:rPr>
                <w:t>69</w:t>
              </w:r>
            </w:hyperlink>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91">
              <w:r>
                <w:rPr>
                  <w:rStyle w:val="InternetLink"/>
                  <w:rFonts w:ascii="Times New Roman;sans-serif" w:hAnsi="Times New Roman;sans-serif"/>
                  <w:b w:val="false"/>
                  <w:color w:val="0000FF"/>
                  <w:sz w:val="20"/>
                  <w:u w:val="single"/>
                </w:rPr>
                <w:t>Consolidated Statements of Operations and Comprehensive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91">
              <w:r>
                <w:rPr>
                  <w:rStyle w:val="InternetLink"/>
                  <w:rFonts w:ascii="Times New Roman;sans-serif" w:hAnsi="Times New Roman;sans-serif"/>
                  <w:b w:val="false"/>
                  <w:strike w:val="false"/>
                  <w:dstrike w:val="false"/>
                  <w:color w:val="000000"/>
                  <w:sz w:val="20"/>
                  <w:u w:val="none"/>
                  <w:effect w:val="none"/>
                </w:rPr>
                <w:t>70</w:t>
              </w:r>
            </w:hyperlink>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94">
              <w:r>
                <w:rPr>
                  <w:rStyle w:val="InternetLink"/>
                  <w:rFonts w:ascii="Times New Roman;sans-serif" w:hAnsi="Times New Roman;sans-serif"/>
                  <w:b w:val="false"/>
                  <w:color w:val="0000FF"/>
                  <w:sz w:val="20"/>
                  <w:u w:val="single"/>
                </w:rPr>
                <w:t xml:space="preserve">Consolidated Statements of Stockholders’ Equity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94">
              <w:r>
                <w:rPr>
                  <w:rStyle w:val="InternetLink"/>
                  <w:rFonts w:ascii="Times New Roman;sans-serif" w:hAnsi="Times New Roman;sans-serif"/>
                  <w:b w:val="false"/>
                  <w:strike w:val="false"/>
                  <w:dstrike w:val="false"/>
                  <w:color w:val="000000"/>
                  <w:sz w:val="20"/>
                  <w:u w:val="none"/>
                  <w:effect w:val="none"/>
                </w:rPr>
                <w:t>71</w:t>
              </w:r>
            </w:hyperlink>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97">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97">
              <w:r>
                <w:rPr>
                  <w:rStyle w:val="InternetLink"/>
                  <w:rFonts w:ascii="Times New Roman;sans-serif" w:hAnsi="Times New Roman;sans-serif"/>
                  <w:b w:val="false"/>
                  <w:strike w:val="false"/>
                  <w:dstrike w:val="false"/>
                  <w:color w:val="000000"/>
                  <w:sz w:val="20"/>
                  <w:u w:val="none"/>
                  <w:effect w:val="none"/>
                </w:rPr>
                <w:t>72</w:t>
              </w:r>
            </w:hyperlink>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00">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f4505193ff46b49976cb0a60e09b7d_100">
              <w:r>
                <w:rPr>
                  <w:rStyle w:val="InternetLink"/>
                  <w:rFonts w:ascii="Times New Roman;sans-serif" w:hAnsi="Times New Roman;sans-serif"/>
                  <w:b w:val="false"/>
                  <w:strike w:val="false"/>
                  <w:dstrike w:val="false"/>
                  <w:color w:val="000000"/>
                  <w:sz w:val="20"/>
                  <w:u w:val="none"/>
                  <w:effect w:val="none"/>
                </w:rPr>
                <w:t>73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AnaptysBio, Inc.:</w:t>
      </w:r>
    </w:p>
    <w:p>
      <w:pPr>
        <w:pStyle w:val="TextBody"/>
        <w:bidi w:val="0"/>
        <w:spacing w:before="0" w:after="0"/>
        <w:jc w:val="left"/>
        <w:rPr/>
      </w:pPr>
      <w:r>
        <w:rPr/>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AnaptysBio, Inc. and subsidiary (the Company) as of December 31, 2024 and 2023, the related consolidated statements of operations and comprehensive loss,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Research and Development Costs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consolidated financial statements, the Company has entered into various contracts with third parties to perform research and development, including clinical manufacturing. When billing terms under these contracts do not coincide with the timing of when the work is performed, the Company makes estimates of the costs incurred by third parties during the period and the outstanding obligations to those third parties as of period end. Estimates of costs incurred during the period that are included in period-end prepaid or accrued expense balances are based on a number of factors, including the review of open contracts and purchase orders, communicating with personnel and service providers to identify services that have been performed on the Company’s behalf and estimating the level of service performed and the associated costs incurred for the service when the Company has not yet been invoiced or otherwise notified of the actual cost. Significant judgments and estimates are made by the Company in determining the costs incurred during the period that are included in prepaid or accrued expense balances at the end of each reporting period.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evaluation of research and development costs as a critical audit matter. Subjective auditor judgment was involved in evaluating the nature and extent of evidence available in evaluating certain assumptions and inputs that were used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estimating the degree of completion of research and development programs when the Company has not yet been invoiced or otherwise notified of the actual cost.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On a sample basis, we examined contracts, invoices, and third-party confirmations and compared them to the assumptions and inputs that are described above. We also examined certain invoices received after December 31, 2024 and evaluated whether services received prior to December 31, 2024 were included in the Company’s estimate of costs incurred as of December 31, 2024.</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24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2009.</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w:t>
      </w:r>
    </w:p>
    <w:tbl>
      <w:tblPr>
        <w:tblW w:w="10205" w:type="dxa"/>
        <w:jc w:val="center"/>
        <w:tblInd w:w="0" w:type="dxa"/>
        <w:tblLayout w:type="fixed"/>
        <w:tblCellMar>
          <w:top w:w="28" w:type="dxa"/>
          <w:left w:w="28" w:type="dxa"/>
          <w:bottom w:w="28" w:type="dxa"/>
          <w:right w:w="28" w:type="dxa"/>
        </w:tblCellMar>
      </w:tblPr>
      <w:tblGrid>
        <w:gridCol w:w="2756"/>
        <w:gridCol w:w="2263"/>
        <w:gridCol w:w="2249"/>
        <w:gridCol w:w="241"/>
        <w:gridCol w:w="906"/>
        <w:gridCol w:w="134"/>
        <w:gridCol w:w="109"/>
        <w:gridCol w:w="109"/>
        <w:gridCol w:w="109"/>
        <w:gridCol w:w="239"/>
        <w:gridCol w:w="899"/>
        <w:gridCol w:w="191"/>
      </w:tblGrid>
      <w:tr>
        <w:trPr/>
        <w:tc>
          <w:tcPr>
            <w:tcW w:w="2756"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35,965 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40,765 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6,851 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354,939 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9,080 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431,876 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406,835 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35,470 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27,026 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483,834 </w:t>
            </w:r>
          </w:p>
        </w:tc>
        <w:tc>
          <w:tcPr>
            <w:tcW w:w="1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452,389 </w:t>
            </w:r>
          </w:p>
        </w:tc>
        <w:tc>
          <w:tcPr>
            <w:tcW w:w="1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30,967 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45,428 </w:t>
            </w:r>
          </w:p>
        </w:tc>
        <w:tc>
          <w:tcPr>
            <w:tcW w:w="13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37,442 </w:t>
            </w:r>
          </w:p>
        </w:tc>
        <w:tc>
          <w:tcPr>
            <w:tcW w:w="1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sale of future royalties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14,112 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16,037 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 shares authorized and no shares, issued or outstanding at December 31, 2024 and December 31, 2023, respectively</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500,000 shares authorized, 30,473 shares and 26,597 shares issued and outstanding at December 31, 2024 and December 31, 2023, respectively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 in capital</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829,860 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702,969 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gain (loss)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(759,327)</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(614,096)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70,868 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88,103 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and stockholders’ equity </w:t>
            </w:r>
          </w:p>
        </w:tc>
        <w:tc>
          <w:tcPr>
            <w:tcW w:w="2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483,834 </w:t>
            </w:r>
          </w:p>
        </w:tc>
        <w:tc>
          <w:tcPr>
            <w:tcW w:w="1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452,389 </w:t>
            </w:r>
          </w:p>
        </w:tc>
        <w:tc>
          <w:tcPr>
            <w:tcW w:w="1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before="0" w:after="0"/>
        <w:jc w:val="center"/>
        <w:rPr/>
      </w:pPr>
      <w:r>
        <w:rPr/>
      </w:r>
    </w:p>
    <w:tbl>
      <w:tblPr>
        <w:tblW w:w="8593" w:type="dxa"/>
        <w:jc w:val="left"/>
        <w:tblInd w:w="0" w:type="dxa"/>
        <w:tblLayout w:type="fixed"/>
        <w:tblCellMar>
          <w:top w:w="28" w:type="dxa"/>
          <w:left w:w="28" w:type="dxa"/>
          <w:bottom w:w="28" w:type="dxa"/>
          <w:right w:w="28" w:type="dxa"/>
        </w:tblCellMar>
      </w:tblPr>
      <w:tblGrid>
        <w:gridCol w:w="1488"/>
        <w:gridCol w:w="1307"/>
        <w:gridCol w:w="1315"/>
        <w:gridCol w:w="109"/>
        <w:gridCol w:w="109"/>
        <w:gridCol w:w="109"/>
        <w:gridCol w:w="109"/>
        <w:gridCol w:w="196"/>
        <w:gridCol w:w="811"/>
        <w:gridCol w:w="109"/>
        <w:gridCol w:w="109"/>
        <w:gridCol w:w="109"/>
        <w:gridCol w:w="109"/>
        <w:gridCol w:w="196"/>
        <w:gridCol w:w="811"/>
        <w:gridCol w:w="109"/>
        <w:gridCol w:w="109"/>
        <w:gridCol w:w="109"/>
        <w:gridCol w:w="109"/>
        <w:gridCol w:w="196"/>
        <w:gridCol w:w="81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91,280 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88,798 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in-process 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(114,949)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(164,411)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(115,154)</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for the sale of future royalties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(145,228)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(163,623)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(128,700)</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(Provision) Benefit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(145,231)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(163,619)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(128,724)</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28,165 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915" w:type="dxa"/>
        <w:jc w:val="left"/>
        <w:tblInd w:w="0" w:type="dxa"/>
        <w:tblLayout w:type="fixed"/>
        <w:tblCellMar>
          <w:top w:w="28" w:type="dxa"/>
          <w:left w:w="28" w:type="dxa"/>
          <w:bottom w:w="28" w:type="dxa"/>
          <w:right w:w="28" w:type="dxa"/>
        </w:tblCellMar>
      </w:tblPr>
      <w:tblGrid>
        <w:gridCol w:w="531"/>
        <w:gridCol w:w="177"/>
        <w:gridCol w:w="178"/>
        <w:gridCol w:w="109"/>
        <w:gridCol w:w="109"/>
        <w:gridCol w:w="109"/>
        <w:gridCol w:w="109"/>
        <w:gridCol w:w="109"/>
        <w:gridCol w:w="109"/>
        <w:gridCol w:w="109"/>
        <w:gridCol w:w="109"/>
        <w:gridCol w:w="195"/>
        <w:gridCol w:w="195"/>
        <w:gridCol w:w="196"/>
        <w:gridCol w:w="109"/>
        <w:gridCol w:w="631"/>
        <w:gridCol w:w="109"/>
        <w:gridCol w:w="916"/>
        <w:gridCol w:w="109"/>
        <w:gridCol w:w="270"/>
        <w:gridCol w:w="271"/>
        <w:gridCol w:w="266"/>
        <w:gridCol w:w="109"/>
        <w:gridCol w:w="109"/>
        <w:gridCol w:w="109"/>
        <w:gridCol w:w="254"/>
        <w:gridCol w:w="402"/>
        <w:gridCol w:w="155"/>
        <w:gridCol w:w="109"/>
        <w:gridCol w:w="109"/>
        <w:gridCol w:w="109"/>
        <w:gridCol w:w="181"/>
        <w:gridCol w:w="616"/>
        <w:gridCol w:w="109"/>
        <w:gridCol w:w="109"/>
        <w:gridCol w:w="109"/>
        <w:gridCol w:w="109"/>
        <w:gridCol w:w="181"/>
        <w:gridCol w:w="376"/>
        <w:gridCol w:w="109"/>
        <w:gridCol w:w="109"/>
        <w:gridCol w:w="109"/>
        <w:gridCol w:w="109"/>
        <w:gridCol w:w="181"/>
        <w:gridCol w:w="631"/>
        <w:gridCol w:w="109"/>
        <w:gridCol w:w="109"/>
        <w:gridCol w:w="109"/>
        <w:gridCol w:w="109"/>
        <w:gridCol w:w="181"/>
        <w:gridCol w:w="61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Gain (Loss)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Stockholders’</w:t>
              <w:br/>
              <w:t>Equity</w:t>
            </w:r>
          </w:p>
        </w:tc>
        <w:tc>
          <w:tcPr>
            <w:tcW w:w="4752" w:type="dxa"/>
            <w:gridSpan w:val="24"/>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January 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27,647 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from exercises of options and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28,513 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717,797 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(450,477)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262,103 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from exercises of options and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upon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Repurchases and retirements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26,597 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(614,096)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from exercises of options and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upon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share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net of $6,516 of 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30,473 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829,860 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70,868 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792" w:type="dxa"/>
        <w:jc w:val="center"/>
        <w:tblInd w:w="0" w:type="dxa"/>
        <w:tblLayout w:type="fixed"/>
        <w:tblCellMar>
          <w:top w:w="28" w:type="dxa"/>
          <w:left w:w="28" w:type="dxa"/>
          <w:bottom w:w="28" w:type="dxa"/>
          <w:right w:w="28" w:type="dxa"/>
        </w:tblCellMar>
      </w:tblPr>
      <w:tblGrid>
        <w:gridCol w:w="2079"/>
        <w:gridCol w:w="1828"/>
        <w:gridCol w:w="1838"/>
        <w:gridCol w:w="196"/>
        <w:gridCol w:w="811"/>
        <w:gridCol w:w="109"/>
        <w:gridCol w:w="109"/>
        <w:gridCol w:w="109"/>
        <w:gridCol w:w="109"/>
        <w:gridCol w:w="196"/>
        <w:gridCol w:w="811"/>
        <w:gridCol w:w="109"/>
        <w:gridCol w:w="109"/>
        <w:gridCol w:w="109"/>
        <w:gridCol w:w="109"/>
        <w:gridCol w:w="196"/>
        <w:gridCol w:w="811"/>
        <w:gridCol w:w="154"/>
      </w:tblGrid>
      <w:tr>
        <w:trPr/>
        <w:tc>
          <w:tcPr>
            <w:tcW w:w="207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Accretion/amortization of investments,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right-of-use assets – operating </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for sale of future royalties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(802,503)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maturities of investments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476,132 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408,016 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95,398 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144,754 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(394,845)</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public offerings, net of underwriters' fees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future royalties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repayment of liability for sale of future royalties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repurchase of common stock</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net share settlement of equity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offering costs, net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issuance costs related to the sale of future royalties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127,054 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(59,297)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44,017 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495,729 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portion of repayment for sale of future royalties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issuance costs related to the sale of future royalties</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repurchase of common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related to issuance of common stock, upon exercise of stock options</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the Business </w:t>
      </w:r>
    </w:p>
    <w:p>
      <w:pPr>
        <w:pStyle w:val="TextBody"/>
        <w:bidi w:val="0"/>
        <w:spacing w:lineRule="auto" w:line="268" w:before="240" w:after="283"/>
        <w:ind w:left="0" w:right="0" w:firstLine="630"/>
        <w:jc w:val="left"/>
        <w:rPr/>
      </w:pPr>
      <w:r>
        <w:rPr>
          <w:rFonts w:ascii="Times New Roman;sans-serif" w:hAnsi="Times New Roman;sans-serif"/>
          <w:b w:val="false"/>
          <w:color w:val="000000"/>
          <w:sz w:val="20"/>
        </w:rPr>
        <w:t>AnaptysBio, Inc. (“we,” “us,” “our,” or the “Company”) was incorporated in the state of Delaware in November 2005. We are a clinical-stage biotechnology company focused on delivering innovative immunology therapeutics for autoimmune and inflammatory diseases. Our pipeline includes our lead program, rosnilimab, a depleter and agonist targeting PD-1+ T cells, in a Phase 2b trial for the treatment of moderate-to-severe rheumatoid arthritis (“RA”) and a Phase 2 trial for the treatment of moderate-to-severe ulcerative colitis (“UC”). We also have other antibodies in our portfolio, including ANB033, a CD122 antagonist in a Phase 1 trial and ANB101, a BDCA2 modulator, entering a Phase 1 trial. We have also discovered multiple therapeutic antibodies licensed to GlaxoSmithKline, Inc. (“GSK”) in a financial collaboration for immuno-oncology, including a PD-1 antagonist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(dostarlimab-gxly) or “</w:t>
      </w:r>
      <w:r>
        <w:rPr>
          <w:rFonts w:ascii="Times New Roman;sans-serif" w:hAnsi="Times New Roman;sans-serif"/>
          <w:b w:val="false"/>
          <w:i/>
          <w:color w:val="000000"/>
          <w:sz w:val="20"/>
        </w:rPr>
        <w:t>Jemperli</w:t>
      </w:r>
      <w:r>
        <w:rPr>
          <w:color w:val="000000"/>
        </w:rPr>
        <w:t>”</w:t>
      </w:r>
      <w:r>
        <w:rPr>
          <w:rFonts w:ascii="Times New Roman;sans-serif" w:hAnsi="Times New Roman;sans-serif"/>
          <w:b w:val="false"/>
          <w:color w:val="000000"/>
          <w:sz w:val="20"/>
        </w:rPr>
        <w:t>) and a TIM-3 antagonist (cobolimab, GSK4069889). We currently recognize revenue from milestones and royalties achieved under our immuno-oncology collaboration with GSK.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12 months from the issuance of our consolidated financial statements. The accompanying consolidated financial statements do not include any adjustments that might be necessary if we are unable to continue as a going concern.</w:t>
      </w:r>
    </w:p>
    <w:p>
      <w:pPr>
        <w:pStyle w:val="TextBody"/>
        <w:bidi w:val="0"/>
        <w:spacing w:lineRule="auto" w:line="288" w:before="12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Public Offerings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15, 2024, we completed an underwritten public offering selling 2,750,498 shares of common stock, at an offering price of $36.50 per share. The aggregate net proceeds received by us from the offering were $93.9 million, net of underwriting discounts and commissions and offering expenses of $6.5 million,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pursuant to the rules and regulations of the Securities and Exchange Commission (the “SEC”). The accompanying consolidated financial statements have been prepared in conformity with accounting principles generally accepted in the United States of America (“U.S. GAAP”).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Basis of Consolidation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us and our wholly owned Australian subsidiary. All intercompany accounts and transactions have been eliminated in consolidation. We operate in one reportable segment, and our functional and reporting currency is the U.S. dollar.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with a maturity at date of purchase of three months or less to be cash equivalents. Cash equivalents consist primarily of money market and mutual funds with original maturities of 90 days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Short-Term and Long-Term Investments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We review our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 No credit impairment losses have been recorded during the years ended December 31, 2024, 2023, or 2022.</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straight-line method over the term of the lease. Upon sale or retirement of property and equipment, the related cost and accumulated depreciation are removed from the accounts and any gain or loss is reflected in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Long Lived Assets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consisting of property and equipment, are reviewed for impairment whenever events or changes in circumstances indicate that the carrying value of an asset may not be recoverable. If circumstances require a long-lived asset or asset group to be tested for possible impairment, we first compare undiscounted cash flows expected to be generated by the asset or asset group to its carrying amount. If the carrying amount of the long-lived asset or asset group is not recoverable on an undiscounted cash flow basis, an impairment loss is recognized and is measured as the amount by which the carrying value exceeds the estimated fair value of the assets. No impairment charges were recorded during the years ended December 31, 2024, 2023, or 2022.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leases consist of a lease for office and lab space that is classified as an operating lease. We determine if an arrangement is a lease at inception.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ROU asset. For leases that have greater than a 12-month lease term, the ROU assets and lease liabilities are recognized based on the present value of the future minimum unpaid lease payments over the lease term. For this purpose, we consider only payments that are fixed and determinable at the time of commencement.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our lease does not provide an implicit rate, we use our incremental borrowing rate based on the information available at commencement date in determining the present value of future payments. We account for fixed lease components separately from non-lease components.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elected the practical expedient to not record leases with an initial term of 12 months or less on the balance sheet and recognize the associated lease payments in the consolidated statements of operations on a straight-line basis over the lease term.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Royalties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treat the liability related to the sale of future royalties as debt, amortized under the effective interest rate method over the estimated life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the Zejula Royalty Monetization Agreement.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5. The amortization of the liability related to the sale of future revenue is based on our current estimates of future royalty payments. Royalty and milestone revenue will be recognized as earned and the payments made will be recorded as a reduction of the liability when paid.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related to a recognized debt liability are deferred and amortized over the term of the debt using the effective interest method. These costs are recorded as a direct reduction to the carrying value of the debt on the balance sheet and the amortization expense is included in non-cash interest expense in the statement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Non-Cash Interest Expense on the Liability Related to the Sale of Future Royalties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The total threshold of royalties to be paid, less the net proceeds received will be recorded as non-cash interest expense over the life of the liability. We impute interest on the unamortized portion of the liability using the effective interest method and record expense based on the timing of payments received over the term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the Zejula Royalty Monetization Agreement. Over the course of the agreement, the actual interest rate will be affected by the timing of royalty and milestone payments made and changes in the forecasted revenue.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 </w:t>
      </w:r>
    </w:p>
    <w:p>
      <w:pPr>
        <w:pStyle w:val="TextBody"/>
        <w:bidi w:val="0"/>
        <w:spacing w:lineRule="auto" w:line="288" w:before="120" w:after="283"/>
        <w:ind w:left="0" w:right="0" w:firstLine="630"/>
        <w:jc w:val="left"/>
        <w:rPr/>
      </w:pPr>
      <w:r>
        <w:rPr>
          <w:rFonts w:ascii="Times New Roman;sans-serif" w:hAnsi="Times New Roman;sans-serif"/>
          <w:b w:val="false"/>
          <w:i/>
          <w:color w:val="000000"/>
          <w:sz w:val="20"/>
        </w:rPr>
        <w:t>Performance Obligations.</w:t>
      </w:r>
      <w:r>
        <w:rPr>
          <w:color w:val="000000"/>
        </w:rPr>
        <w:t xml:space="preserve"> </w:t>
      </w:r>
      <w:r>
        <w:rPr>
          <w:rFonts w:ascii="Times New Roman;sans-serif" w:hAnsi="Times New Roman;sans-serif"/>
          <w:b w:val="false"/>
          <w:color w:val="000000"/>
          <w:sz w:val="20"/>
        </w:rPr>
        <w:t xml:space="preserve">We evaluate deliverables on a contract-by-contract basis to determine whether each deliverable represents a good or service 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stand alone selling price.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obligations may include the following: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Steering Committee Meetings. The performance obligations under our collaboration and license agreements may also include our participation on steering committees, which allows us to direct the progression of our discovery programs. As these steering committees would not occur or benefit the customer without the use of our licenses, these are not considered distinct.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 There were no new agreements with performance obligations entered into during the year ended December 31, 2024.</w:t>
      </w:r>
    </w:p>
    <w:p>
      <w:pPr>
        <w:pStyle w:val="TextBody"/>
        <w:bidi w:val="0"/>
        <w:spacing w:lineRule="auto" w:line="288" w:before="120" w:after="283"/>
        <w:ind w:left="0" w:right="0" w:firstLine="630"/>
        <w:jc w:val="left"/>
        <w:rPr/>
      </w:pPr>
      <w:r>
        <w:rPr>
          <w:rFonts w:ascii="Times New Roman;sans-serif" w:hAnsi="Times New Roman;sans-serif"/>
          <w:b w:val="false"/>
          <w:i/>
          <w:color w:val="000000"/>
          <w:sz w:val="20"/>
        </w:rPr>
        <w:t xml:space="preserve">Transaction Price. </w:t>
      </w:r>
      <w:r>
        <w:rPr>
          <w:rFonts w:ascii="Times New Roman;sans-serif" w:hAnsi="Times New Roman;sans-serif"/>
          <w:b w:val="false"/>
          <w:color w:val="000000"/>
          <w:sz w:val="20"/>
        </w:rPr>
        <w:t xml:space="preserve">Our collaboration and license agreements generally include both fixed and variable consideration. Fixed payments, such as 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likely amount and are evaluated on a quarterly basis. Upon commercialization, royalty payments will be recognized in the period incurred.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Royalty Revenue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receive royalty revenue on sales by our partners of products covered by patents or contract rights that we own and net sales of their approved drugs, where we have concluded the license is the predominant item to which the royalties relate. We do not have future performance obligations under these license arrangements. We generally satisfy our obligation to grant intellectual property rights on the effective date of the contract. However, we apply the royalty recognition constraint required under the guidance for sales-based royalties, which requires a sales-based royalty to be recorded when the underlying sale occurs. Therefore, royalties on sales of products commercialized by our partners are recognized in the quarter the product is sold. Our partners generally report sales information to us on a quarter lag. Thus, we estimate the expected royalty proceeds based on an analysis of our partners’ historical experience including their publicly announced sales. Differences between actual and estimated royalty revenues are adjusted for in the period in which they become known, typically the following quarter. As of December 31, 2024, there have not been material differences between actual and estimated royalty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primarily include third party clinical and preclinical research and development services such as manufacturing, laboratory and related supplies, salaries and personnel-related costs, in-licensing fees, outside services, and an allocation of information technology, and facility overhead costs.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research and development activities are expensed as incurred. We account for nonrefundable advance payments for goods and services that will be used in future research and development activities as expense when the service has been performed or when the goods have been received. We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Upfront and milestone payments incurred under our in-licensing agreements are expensed as research and development in the period in which they are incurred, provided that the technology or method has no alternative future use.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Acquired In-process Research and Development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Acquired in-process research and development costs consist of upfront payments incurred in connection with the acquisition of licensing of products or technologies that do not meet the definition of a business under the Accounting Standards of Codification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recognize forfeitures in the period in which forfeitures occur and record stock-based compensation expense as though all awards are expected to vest.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Each Performance Stock Unit (“PSU”) represents one equivalent share of our common stock to be issued after achievement of the performance metrics specified in the grant. The fair value of our PSUs is estimated as of the grant date, based upon the expected achievement of the performance metrics specified in the grant and the closing market price of our common stock on the date of grant. The grant date fair value is estimated using a Monte Carlo simulation. 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ASC Topic 280, Segment Reporting, establishes standards for companies to report financial statement information about operating segments. Operating segments are defined as components of an enterprise engaging in business activities for which separate financial information is available that is regularly evaluated by the company’s chief operating decision-makers in deciding how to allocate resources and assess performance. Our chief operating decision maker (“CODM”) has been identified as the Chief Executive Officer, who reviews results at a consolidated level only. Therefore, we determined we operate as one reportable segment focused on research and development activities to deliver immunology therapeutics for autoimmune and inflammatory diseases.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Functional Currency of Foreign Operations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Comprehensive Income (Loss)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represents all changes in stockholders’ equity except those resulting from distributions to stockholders. Our unrealized gain and losses on available for sale investments represent the only component of other comprehensive income (loss) that is excluded from the reported net income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Loss Per Common Share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pPr>
      <w:r>
        <w:rPr>
          <w:rFonts w:ascii="Times New Roman;sans-serif" w:hAnsi="Times New Roman;sans-serif"/>
          <w:b w:val="false"/>
          <w:color w:val="000000"/>
          <w:sz w:val="20"/>
          <w:shd w:fill="FFFFFF" w:val="clear"/>
        </w:rPr>
        <w:t xml:space="preserve">The following table sets forth the </w:t>
      </w:r>
      <w:r>
        <w:rPr>
          <w:rFonts w:ascii="Times New Roman;sans-serif" w:hAnsi="Times New Roman;sans-serif"/>
          <w:b w:val="false"/>
          <w:color w:val="000000"/>
          <w:sz w:val="20"/>
        </w:rPr>
        <w:t xml:space="preserve">weighted-average </w:t>
      </w:r>
      <w:r>
        <w:rPr>
          <w:rFonts w:ascii="Times New Roman;sans-serif" w:hAnsi="Times New Roman;sans-serif"/>
          <w:b w:val="false"/>
          <w:color w:val="000000"/>
          <w:sz w:val="20"/>
          <w:shd w:fill="FFFFFF" w:val="clear"/>
        </w:rPr>
        <w:t>outstanding potentially dilutive securities that have been excluded in the calculation of diluted net loss per share because to do so would be anti-dilutive (in common stock equivalent shares):</w:t>
      </w:r>
    </w:p>
    <w:tbl>
      <w:tblPr>
        <w:tblW w:w="6432" w:type="dxa"/>
        <w:jc w:val="left"/>
        <w:tblInd w:w="0" w:type="dxa"/>
        <w:tblLayout w:type="fixed"/>
        <w:tblCellMar>
          <w:top w:w="28" w:type="dxa"/>
          <w:left w:w="28" w:type="dxa"/>
          <w:bottom w:w="28" w:type="dxa"/>
          <w:right w:w="28" w:type="dxa"/>
        </w:tblCellMar>
      </w:tblPr>
      <w:tblGrid>
        <w:gridCol w:w="1074"/>
        <w:gridCol w:w="946"/>
        <w:gridCol w:w="949"/>
        <w:gridCol w:w="109"/>
        <w:gridCol w:w="109"/>
        <w:gridCol w:w="109"/>
        <w:gridCol w:w="109"/>
        <w:gridCol w:w="308"/>
        <w:gridCol w:w="308"/>
        <w:gridCol w:w="156"/>
        <w:gridCol w:w="109"/>
        <w:gridCol w:w="109"/>
        <w:gridCol w:w="109"/>
        <w:gridCol w:w="308"/>
        <w:gridCol w:w="308"/>
        <w:gridCol w:w="156"/>
        <w:gridCol w:w="109"/>
        <w:gridCol w:w="109"/>
        <w:gridCol w:w="109"/>
        <w:gridCol w:w="308"/>
        <w:gridCol w:w="308"/>
        <w:gridCol w:w="213"/>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1156" w:type="dxa"/>
            <w:gridSpan w:val="6"/>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1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Accounting Pronouncements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implemented all new accounting pronouncements that are in effect and may have an impact on our consolidated financial statements. Unless otherwise discussed, we believe the impact of any recently issued pronouncements, not yet effective will not have a material impact on our consolidated financial statements.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In November 2023, the Financial Accounting Standards Board (“FASB”) issued Accounting Standard Update (“ASU”) 2023-07,</w:t>
      </w:r>
      <w:r>
        <w:rPr>
          <w:color w:val="000000"/>
        </w:rPr>
        <w:t xml:space="preserve">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requires enhanced disclosure of significant segment expenses that are regularly provided to the CODM and included within each reported measure of segment profit or loss on an annual and interim basis and should be applied retrospectively to all prior periods presented in the financial statements. We adopted this standard retrospectively on December 31, 2024. For the purpose of the adoption of ASU 2023-07, we performed an evaluation of financial information regularly reviewed by the CODM for purposes of evaluating performance and allocating resources. Financial information provided to and used by the CODM is consistent with our consolidated GAAP financial statements including our Consolidated Statements of Operations, see Note 11.</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In December 2023, the FASB issued ASU No. 2023-09,</w:t>
      </w:r>
      <w:r>
        <w:rPr>
          <w:color w:val="000000"/>
        </w:rPr>
        <w:t xml:space="preserve"> </w:t>
      </w:r>
      <w:r>
        <w:rPr>
          <w:rFonts w:ascii="Times New Roman;sans-serif" w:hAnsi="Times New Roman;sans-serif"/>
          <w:b w:val="false"/>
          <w:i/>
          <w:color w:val="000000"/>
          <w:sz w:val="20"/>
        </w:rPr>
        <w:t>Income Taxes (Topic 740): Improvements to Income Tax Disclosures Income Taxes</w:t>
      </w:r>
      <w:r>
        <w:rPr>
          <w:rFonts w:ascii="Times New Roman;sans-serif" w:hAnsi="Times New Roman;sans-serif"/>
          <w:b w:val="false"/>
          <w:color w:val="000000"/>
          <w:sz w:val="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15, 2024. Early adoption is permitted. Upon adoption, the guidance can be applied prospectively or retrospectively. We are currently assessing the impact that this standard will have on our consolidated financial statements.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In November 2024, the FASB issued ASU No. 2024-03, </w:t>
      </w:r>
      <w:r>
        <w:rPr>
          <w:rFonts w:ascii="Times New Roman;sans-serif" w:hAnsi="Times New Roman;sans-serif"/>
          <w:b w:val="false"/>
          <w:i/>
          <w:color w:val="000000"/>
          <w:sz w:val="20"/>
        </w:rPr>
        <w:t xml:space="preserve">Income Statement—Reporting Comprehensive Income—Expense Disaggregation Disclosures (Subtopic 220-40): Disaggregation of Income Statement Expenses, </w:t>
      </w:r>
      <w:r>
        <w:rPr>
          <w:rFonts w:ascii="Times New Roman;sans-serif" w:hAnsi="Times New Roman;sans-serif"/>
          <w:b w:val="false"/>
          <w:color w:val="000000"/>
          <w:sz w:val="20"/>
        </w:rPr>
        <w:t>which requires disclosure about the types of costs and expenses included in certain expense captions presented on the income statement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new disclosure requirements are effective for annual reporting periods beginning after December 15, 2026, and interim reporting periods beginning after December 15, 2027. Early adoption is permitted. We are currently evaluating the provisions of this guidance and assessing the potential impact on our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3. Balance Sheet Accounts and Supplemental Disclosures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consist of the following: </w:t>
      </w:r>
    </w:p>
    <w:tbl>
      <w:tblPr>
        <w:tblW w:w="7479" w:type="dxa"/>
        <w:jc w:val="left"/>
        <w:tblInd w:w="0" w:type="dxa"/>
        <w:tblLayout w:type="fixed"/>
        <w:tblCellMar>
          <w:top w:w="28" w:type="dxa"/>
          <w:left w:w="28" w:type="dxa"/>
          <w:bottom w:w="28" w:type="dxa"/>
          <w:right w:w="28" w:type="dxa"/>
        </w:tblCellMar>
      </w:tblPr>
      <w:tblGrid>
        <w:gridCol w:w="1486"/>
        <w:gridCol w:w="1311"/>
        <w:gridCol w:w="1312"/>
        <w:gridCol w:w="338"/>
        <w:gridCol w:w="987"/>
        <w:gridCol w:w="174"/>
        <w:gridCol w:w="109"/>
        <w:gridCol w:w="109"/>
        <w:gridCol w:w="109"/>
        <w:gridCol w:w="332"/>
        <w:gridCol w:w="970"/>
        <w:gridCol w:w="242"/>
      </w:tblGrid>
      <w:tr>
        <w:trPr/>
        <w:tc>
          <w:tcPr>
            <w:tcW w:w="148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3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6,715 </w:t>
            </w:r>
          </w:p>
        </w:tc>
        <w:tc>
          <w:tcPr>
            <w:tcW w:w="17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6,473 </w:t>
            </w:r>
          </w:p>
        </w:tc>
        <w:tc>
          <w:tcPr>
            <w:tcW w:w="2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3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8,448 </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8,316 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32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pPr>
      <w:r>
        <w:rPr>
          <w:color w:val="000000"/>
        </w:rPr>
        <w:t> </w:t>
      </w:r>
      <w:r>
        <w:rPr>
          <w:rFonts w:ascii="Times New Roman;sans-serif" w:hAnsi="Times New Roman;sans-serif"/>
          <w:b/>
          <w:i/>
          <w:color w:val="000000"/>
          <w:sz w:val="20"/>
        </w:rPr>
        <w:t xml:space="preserve">Accrued Expenses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consist of the following: </w:t>
      </w:r>
    </w:p>
    <w:tbl>
      <w:tblPr>
        <w:tblW w:w="8382" w:type="dxa"/>
        <w:jc w:val="center"/>
        <w:tblInd w:w="0" w:type="dxa"/>
        <w:tblLayout w:type="fixed"/>
        <w:tblCellMar>
          <w:top w:w="28" w:type="dxa"/>
          <w:left w:w="28" w:type="dxa"/>
          <w:bottom w:w="28" w:type="dxa"/>
          <w:right w:w="28" w:type="dxa"/>
        </w:tblCellMar>
      </w:tblPr>
      <w:tblGrid>
        <w:gridCol w:w="1808"/>
        <w:gridCol w:w="1593"/>
        <w:gridCol w:w="1609"/>
        <w:gridCol w:w="304"/>
        <w:gridCol w:w="1039"/>
        <w:gridCol w:w="157"/>
        <w:gridCol w:w="109"/>
        <w:gridCol w:w="109"/>
        <w:gridCol w:w="109"/>
        <w:gridCol w:w="300"/>
        <w:gridCol w:w="1026"/>
        <w:gridCol w:w="219"/>
      </w:tblGrid>
      <w:tr>
        <w:trPr/>
        <w:tc>
          <w:tcPr>
            <w:tcW w:w="180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3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 and other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development and manufacturing expenses</w:t>
            </w:r>
          </w:p>
        </w:tc>
        <w:tc>
          <w:tcPr>
            <w:tcW w:w="134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30,213 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21,898 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for repurchase of common stock</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3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39,501 </w:t>
            </w:r>
          </w:p>
        </w:tc>
        <w:tc>
          <w:tcPr>
            <w:tcW w:w="1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30,967 </w:t>
            </w:r>
          </w:p>
        </w:tc>
        <w:tc>
          <w:tcPr>
            <w:tcW w:w="2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4. Collaborative Research and Development Agreements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GSK Collaboration </w:t>
      </w:r>
    </w:p>
    <w:p>
      <w:pPr>
        <w:pStyle w:val="TextBody"/>
        <w:bidi w:val="0"/>
        <w:spacing w:lineRule="auto" w:line="268" w:before="120" w:after="283"/>
        <w:ind w:left="0" w:right="0" w:firstLine="540"/>
        <w:jc w:val="left"/>
        <w:rPr/>
      </w:pPr>
      <w:r>
        <w:rPr>
          <w:rFonts w:ascii="Times New Roman;sans-serif" w:hAnsi="Times New Roman;sans-serif"/>
          <w:b w:val="false"/>
          <w:color w:val="000000"/>
          <w:sz w:val="20"/>
        </w:rPr>
        <w:t xml:space="preserve">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(dostarlimab) as a monotherapy for various solid tumor indications. In addition, GSK is developing dostarlimab in combination with additional therapies under the collaboration, including with another development program from the GSK Agreement: cobolimab, a TIM-3 antibody, in 2L NSCLC. In October 2023, Amendment No. 5 to the GSK Agreement (the “GSK Amendment No. 5”) was agreed by both parties to terminate the LAG-3 antagonist antibody development program under the GSK Agreement. In accordance with the GSK Agreement and the GSK Amendment No. 5, we have regained full global rights to the LAG-3 antagonist antibody development program.</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For each remaining development program under the GSK Agreement, we are eligible to receive milestone payments if certain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 3, we were granted increased royalties upon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assessed these arrangements in accordance with Accounting Standards Codification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As of December 31, 2024, the transaction price for the GSK Agreement and its associated amendments includes the upfront payment, research reimbursement revenue and milestones and royalties earned to date, which are allocated in their entirety to the single performance obligation.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recognized $51.3 million in royalty revenue during the year ended December 31, 2024 related to GSK’s net sales of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and Zejula during the period, which we estimate based on either GSK’s prior sales experience or actuals. Of the royalty revenue recognized during the year ended December 31, 2024, $47.4 million is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non-cash revenue related 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(as amended), and $3.9 million is Zejula non-cash revenue related to the Zejula Monetization Agreement, each of such agreements as described in Note 5. We recognized $17.2 million in royalty revenue during the year ended December 31, 2023, related to GSK’s net sales of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and Zejula during the period based on GSK’s prior sales experience or actuals. Of the royalty revenue recognized during the year ended December 31, 2023, $13.8 million is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non-cash revenue related 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(as amended) and $3.4 million is Zejula non-cash revenue related to the Zejula Royalty Monetization Agreement. We recognized $5.3 million in royalty revenue during the year ended December 31, 2022. Of the royalty revenue recognized during the year ended December 31, 2022, $2.3 million is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non-cash revenue related 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(as amended), $1.6 million is Zejula revenue prior to the to the Zejula Royalty Monetization Agreement and $1.4 million is Zejula non-cash revenue related to the Zejula Royalty Monetization Agreement. GSK reports sales information to us on a one quarter lag and differences between actual and estimated royalty revenues will be adjusted in the following quarter.</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Two sales milestones, for a total of $40.0 million, were recognized during the year ended December 31, 2024 when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annual sales exceeded both the $250.0 million and $500.0 million sales thresholds. These sales milestones are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non-cash revenue related 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(as amended). No milestones were recognized during the year ended December 31, 2023, and we recognized one clinical milestone for $5.0 million during the year ended December 31, 2022.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Milestones under the GSK Agreement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22"/>
        <w:gridCol w:w="1473"/>
        <w:gridCol w:w="1479"/>
        <w:gridCol w:w="303"/>
        <w:gridCol w:w="299"/>
        <w:gridCol w:w="282"/>
        <w:gridCol w:w="487"/>
        <w:gridCol w:w="487"/>
        <w:gridCol w:w="503"/>
        <w:gridCol w:w="109"/>
        <w:gridCol w:w="109"/>
        <w:gridCol w:w="109"/>
        <w:gridCol w:w="342"/>
        <w:gridCol w:w="322"/>
        <w:gridCol w:w="321"/>
        <w:gridCol w:w="497"/>
        <w:gridCol w:w="497"/>
        <w:gridCol w:w="485"/>
        <w:gridCol w:w="109"/>
        <w:gridCol w:w="109"/>
        <w:gridCol w:w="161"/>
      </w:tblGrid>
      <w:tr>
        <w:trPr/>
        <w:tc>
          <w:tcPr>
            <w:tcW w:w="1722"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PD-1</w:t>
            </w:r>
          </w:p>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i/>
                <w:color w:val="000000"/>
                <w:sz w:val="16"/>
              </w:rPr>
              <w:t>Jemperli</w:t>
            </w:r>
            <w:r>
              <w:rPr>
                <w:rFonts w:ascii="Times New Roman;sans-serif" w:hAnsi="Times New Roman;sans-serif"/>
                <w:b/>
                <w:color w:val="000000"/>
                <w:sz w:val="16"/>
              </w:rPr>
              <w:t xml:space="preserve">/Dostarlimab)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TIM-3</w:t>
              <w:br/>
              <w:t>(GSK4069889/Cobolimab)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Milestone Event</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Initiated </w:t>
            </w:r>
            <w:r>
              <w:rPr>
                <w:rFonts w:ascii="Times New Roman;sans-serif" w:hAnsi="Times New Roman;sans-serif"/>
                <w:b w:val="false"/>
                <w:i/>
                <w:color w:val="000000"/>
                <w:sz w:val="16"/>
              </w:rPr>
              <w:t>in vivo</w:t>
            </w:r>
            <w:r>
              <w:rPr>
                <w:color w:val="000000"/>
              </w:rPr>
              <w:t xml:space="preserve"> </w:t>
            </w:r>
            <w:r>
              <w:rPr>
                <w:rFonts w:ascii="Times New Roman;sans-serif" w:hAnsi="Times New Roman;sans-serif"/>
                <w:b w:val="false"/>
                <w:color w:val="000000"/>
                <w:sz w:val="16"/>
              </w:rPr>
              <w:t>toxicology studies using good laboratory practices (GLPs)</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 clearance from the FDA</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2 clinical trial initiation</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first indication</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second indication</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BLA</w:t>
            </w: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first indication</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MAA</w:t>
            </w: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first indication</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Filing of the first BLA - second indication</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first indication</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First MAA approval - first indication</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second indication</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Filing of the first MAA - second indication</w:t>
            </w:r>
            <w:r>
              <w:rPr>
                <w:rFonts w:ascii="Times New Roman;sans-serif" w:hAnsi="Times New Roman;sans-serif"/>
                <w:b w:val="false"/>
                <w:color w:val="000000"/>
                <w:sz w:val="10"/>
              </w:rPr>
              <w:t>(3)</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MAA approval - second indication</w:t>
            </w:r>
            <w:r>
              <w:rPr>
                <w:rFonts w:ascii="Times New Roman;sans-serif" w:hAnsi="Times New Roman;sans-serif"/>
                <w:b w:val="false"/>
                <w:color w:val="000000"/>
                <w:sz w:val="10"/>
              </w:rPr>
              <w:t>(3)</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commercial sales milestone</w:t>
            </w:r>
            <w:r>
              <w:rPr>
                <w:rFonts w:ascii="Times New Roman;sans-serif" w:hAnsi="Times New Roman;sans-serif"/>
                <w:b w:val="false"/>
                <w:color w:val="000000"/>
                <w:sz w:val="10"/>
              </w:rPr>
              <w:t>(3)</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Second commercial sales milestone</w:t>
            </w:r>
            <w:r>
              <w:rPr>
                <w:rFonts w:ascii="Times New Roman;sans-serif" w:hAnsi="Times New Roman;sans-serif"/>
                <w:b w:val="false"/>
                <w:color w:val="000000"/>
                <w:sz w:val="10"/>
              </w:rPr>
              <w:t>(3)</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Third commercial sales milestone</w:t>
            </w:r>
            <w:r>
              <w:rPr>
                <w:rFonts w:ascii="Times New Roman;sans-serif" w:hAnsi="Times New Roman;sans-serif"/>
                <w:b w:val="false"/>
                <w:color w:val="000000"/>
                <w:sz w:val="10"/>
              </w:rPr>
              <w:t>(3)</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Fourth commercial sales milestone</w:t>
            </w:r>
            <w:r>
              <w:rPr>
                <w:rFonts w:ascii="Times New Roman;sans-serif" w:hAnsi="Times New Roman;sans-serif"/>
                <w:b w:val="false"/>
                <w:color w:val="000000"/>
                <w:sz w:val="10"/>
              </w:rPr>
              <w:t>(4)</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recognized through December 31, 2024</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$133.0M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that may be recognized in the future</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Biologics License Application (“BLA”)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Marketing Authorization Application (“MAA”)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For </w:t>
      </w:r>
      <w:r>
        <w:rPr>
          <w:rFonts w:ascii="Times New Roman;sans-serif" w:hAnsi="Times New Roman;sans-serif"/>
          <w:b w:val="false"/>
          <w:i/>
          <w:color w:val="000000"/>
          <w:sz w:val="20"/>
        </w:rPr>
        <w:t>Jemperli</w:t>
      </w:r>
      <w:r>
        <w:rPr>
          <w:rFonts w:ascii="Times New Roman;sans-serif" w:hAnsi="Times New Roman;sans-serif"/>
          <w:b w:val="false"/>
          <w:color w:val="000000"/>
          <w:sz w:val="20"/>
        </w:rPr>
        <w:t>, the filing and approval of the first MAA for a second indication and first three commercial sales milestones are included as part of the royalty monetization agreement with Sagard (as defined below), see Note 5. Cash is generally received within 30 days of milestone achievement.</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For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we retained the rights to a $75.0 million sales milestone when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annual Net Sales exceed $1 billion.</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$91.3 million in revenue under the GSK Agreement during the year ended December 31, 2024, of which $51.3 million was related to royalty revenue and $40.0 million was related to milestone revenue, as there were two milestones earned during the year. We recognized $17.2 million in revenue during the year ended December 31, 2023, of which $17.2 million was related to royalty revenue and none was related to milestone revenue, as there were no milestones earned during the year. We recognized $10.3 million in revenue during the year ended December 31, 2022, of which $5.3 million was related to royalty revenue and $5.0 million was related to one milestone.</w:t>
      </w:r>
    </w:p>
    <w:p>
      <w:pPr>
        <w:pStyle w:val="TextBody"/>
        <w:bidi w:val="0"/>
        <w:spacing w:lineRule="auto" w:line="288" w:before="24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Centessa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CBS008 (renamed ANB102) and the related family of backup antibodies, for the treatment of autoimmune and inflammatory diseases.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 achievement of the milestone is not probable and, therefore, we have not recognized a liability for the associated $10.0 million contingent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5. Sale of Future Royalties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Jemperli Royalty Monetization Agreement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In October 2021, we signed a royalty monetization agreement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with Sagard Healthcare Royalty Partners, LP (“Sagard”). Under the terms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we received $250.0 million in exchange for royalties and milestones payable to us under our GSK collaboration on annual global net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In May 2024, we entered into an amendment 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Amendment No. 1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under which we sold additional receivables to Sagard in exchange for $50.0 million.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includes all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sales, including any product containing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whether or not such product constitutes a combination product, and the threshold amounts of aggregate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royalties and milestones to be received by Sagard under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is either $600.0 million if received by the end of March 31, 2031, or $675.0 million if received thereafter. Once either of these thresholds are met,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Amendment will expire, resulting in us regaining all subsequent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royalties and milestones. As of December 31, 2024, Sagard has received a total of $63.8 million in royalties and milestones.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retained the rights to a $75.0 million sales milestone when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annual Net Sales exceed $1 billion.</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The proceeds received from Sagard of $250.0 million and $50.0 million were recorded as a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and these payments to Sagard will be recorded as a reduction of the liability when paid. As such payments are made to Sagard, the balance of the liability will be effectively repaid over the life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estimate the effective interest rate used to record non-cash interest expense under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based on the estimate of future royalty payments to be received by Sagard. As of December 31, 2024, the estimated effective rate under the agreement was 22.7%.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prior estimates, we will prospectively adjust the imputed interest rate and the related amortization of the royalty obligation.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recognized two sales milestones for a total of $40.0 million during the year ended December 31, 2024, when </w:t>
      </w:r>
      <w:r>
        <w:rPr>
          <w:rFonts w:ascii="Times New Roman;sans-serif" w:hAnsi="Times New Roman;sans-serif"/>
          <w:b w:val="false"/>
          <w:i/>
          <w:color w:val="000000"/>
          <w:sz w:val="20"/>
        </w:rPr>
        <w:t xml:space="preserve">Jemperli </w:t>
      </w:r>
      <w:r>
        <w:rPr>
          <w:rFonts w:ascii="Times New Roman;sans-serif" w:hAnsi="Times New Roman;sans-serif"/>
          <w:b w:val="false"/>
          <w:color w:val="000000"/>
          <w:sz w:val="20"/>
        </w:rPr>
        <w:t>annual sales exceeded both the $250.0 million and $500.0 million thresholds. No milestones were recognized during the years ended December 31, 2023 and 2022.</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We recognized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non-cash royalty revenue of approximately $47.4 million, $13.8 million and $2.3 million during the years ended December 31, 2024, 2023 and 2022, respectively and non-cash interest expense of approximately $49.1 million, $17.1 million and $20.4 million during the years ended December 31, 2024, 2023 and 2022, respectively. The interest and amortization of issuance costs is reflected as non-cash interest expense for the sale of future royalties in the Consolidated Statements of Operations. </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within the liability account for the year ended December 31, 2024:</w:t>
      </w:r>
    </w:p>
    <w:tbl>
      <w:tblPr>
        <w:tblW w:w="9371" w:type="dxa"/>
        <w:jc w:val="left"/>
        <w:tblInd w:w="0" w:type="dxa"/>
        <w:tblLayout w:type="fixed"/>
        <w:tblCellMar>
          <w:top w:w="28" w:type="dxa"/>
          <w:left w:w="28" w:type="dxa"/>
          <w:bottom w:w="28" w:type="dxa"/>
          <w:right w:w="28" w:type="dxa"/>
        </w:tblCellMar>
      </w:tblPr>
      <w:tblGrid>
        <w:gridCol w:w="2713"/>
        <w:gridCol w:w="2390"/>
        <w:gridCol w:w="2397"/>
        <w:gridCol w:w="109"/>
        <w:gridCol w:w="109"/>
        <w:gridCol w:w="109"/>
        <w:gridCol w:w="273"/>
        <w:gridCol w:w="1072"/>
        <w:gridCol w:w="199"/>
      </w:tblGrid>
      <w:tr>
        <w:trPr/>
        <w:tc>
          <w:tcPr>
            <w:tcW w:w="2713"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Liability related to sale of future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royalties and milestones - balance at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278,090 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future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 related to the sale of future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milestone payments to Sagard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interest expense recognized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 and milestones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323,658 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Of the non-cash interest expense recognized, $3.7 million was capitalized interest for the year ended December 31, 2024.</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Zejula Royalty Monetization Agreement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in connection with GSK Amendment No. 3, GSK agreed, under the terms of a settlement agreement (the “GSK Settlement Agreement”), to pay us a royalty of 0.5% on all GSK net sales of Zejula starting January 1, 2021.</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we signed a purchase and sale agreement (the “Zejula Royalty Monetization Agreement”) with a wholly owned subsidiary of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Zejula non-cash royalty revenue of approximately $3.9 million, $3.4 million and $1.4 million during the years ended December 31, 2024, 2023 and 2022, respectively and non-cash interest expense of approximately $1.0 million, $1.0 million and $0.7 million during the years ended December 31, 2024, 2023 and 2022, respectively. The interest and amortization of issuance costs is reflected as non-cash interest expense for the sale of future royalties in the Consolidated Statements of Operations.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within the liability account for the year ended December 31, 2024:</w:t>
      </w:r>
    </w:p>
    <w:tbl>
      <w:tblPr>
        <w:tblW w:w="9176" w:type="dxa"/>
        <w:jc w:val="left"/>
        <w:tblInd w:w="0" w:type="dxa"/>
        <w:tblLayout w:type="fixed"/>
        <w:tblCellMar>
          <w:top w:w="28" w:type="dxa"/>
          <w:left w:w="28" w:type="dxa"/>
          <w:bottom w:w="28" w:type="dxa"/>
          <w:right w:w="28" w:type="dxa"/>
        </w:tblCellMar>
      </w:tblPr>
      <w:tblGrid>
        <w:gridCol w:w="2642"/>
        <w:gridCol w:w="2328"/>
        <w:gridCol w:w="2334"/>
        <w:gridCol w:w="109"/>
        <w:gridCol w:w="109"/>
        <w:gridCol w:w="109"/>
        <w:gridCol w:w="300"/>
        <w:gridCol w:w="1026"/>
        <w:gridCol w:w="219"/>
      </w:tblGrid>
      <w:tr>
        <w:trPr/>
        <w:tc>
          <w:tcPr>
            <w:tcW w:w="2642"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Zejula royalties and milestones - balance at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milestone payments to DRI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 and milestones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6. Fair Value Measurements and Available for Sale Investments</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that reflect quoted prices (unadjusted) for identical assets or liabilities in active markets.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that are supported by little or no market activities, therefore requiring an entity to develop its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 xml:space="preserve">Assets and Liabilities Measured at Fair Value on a Recurring Basis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assets and liabilities that require fair value measurements on a recurring basis and their respective input levels based on the fair value hierarchy: </w:t>
      </w:r>
    </w:p>
    <w:tbl>
      <w:tblPr>
        <w:tblW w:w="9314" w:type="dxa"/>
        <w:jc w:val="left"/>
        <w:tblInd w:w="0" w:type="dxa"/>
        <w:tblLayout w:type="fixed"/>
        <w:tblCellMar>
          <w:top w:w="28" w:type="dxa"/>
          <w:left w:w="28" w:type="dxa"/>
          <w:bottom w:w="28" w:type="dxa"/>
          <w:right w:w="28" w:type="dxa"/>
        </w:tblCellMar>
      </w:tblPr>
      <w:tblGrid>
        <w:gridCol w:w="1231"/>
        <w:gridCol w:w="1085"/>
        <w:gridCol w:w="1088"/>
        <w:gridCol w:w="211"/>
        <w:gridCol w:w="826"/>
        <w:gridCol w:w="109"/>
        <w:gridCol w:w="109"/>
        <w:gridCol w:w="109"/>
        <w:gridCol w:w="109"/>
        <w:gridCol w:w="226"/>
        <w:gridCol w:w="887"/>
        <w:gridCol w:w="118"/>
        <w:gridCol w:w="109"/>
        <w:gridCol w:w="109"/>
        <w:gridCol w:w="109"/>
        <w:gridCol w:w="410"/>
        <w:gridCol w:w="789"/>
        <w:gridCol w:w="212"/>
        <w:gridCol w:w="109"/>
        <w:gridCol w:w="109"/>
        <w:gridCol w:w="109"/>
        <w:gridCol w:w="312"/>
        <w:gridCol w:w="600"/>
        <w:gridCol w:w="229"/>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End of Period Using:</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Quoted Market</w:t>
              <w:br/>
              <w:t>Prices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At December 31, 2024</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At December 31, 2023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Included in cash and cash equivalents in the accompanying consolidated balance sheets.</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 xml:space="preserve">Included in short-term or long-term investments in the accompanying consolidated balance sheets depending on the respective maturity date. </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methods and assumptions were used to estimate the fair value of our financial instruments for which it is practicable to estimate that value: </w:t>
      </w:r>
    </w:p>
    <w:p>
      <w:pPr>
        <w:pStyle w:val="TextBody"/>
        <w:bidi w:val="0"/>
        <w:spacing w:lineRule="auto" w:line="288" w:before="120" w:after="283"/>
        <w:ind w:left="0" w:right="0" w:firstLine="630"/>
        <w:jc w:val="left"/>
        <w:rPr/>
      </w:pPr>
      <w:r>
        <w:rPr>
          <w:rFonts w:ascii="Times New Roman;sans-serif" w:hAnsi="Times New Roman;sans-serif"/>
          <w:b w:val="false"/>
          <w:i/>
          <w:color w:val="000000"/>
          <w:sz w:val="20"/>
        </w:rPr>
        <w:t>Marketable Securities.</w:t>
      </w:r>
      <w:r>
        <w:rPr>
          <w:color w:val="000000"/>
        </w:rPr>
        <w:t xml:space="preserve"> </w:t>
      </w:r>
      <w:r>
        <w:rPr>
          <w:rFonts w:ascii="Times New Roman;sans-serif" w:hAnsi="Times New Roman;sans-serif"/>
          <w:b w:val="false"/>
          <w:color w:val="000000"/>
          <w:sz w:val="20"/>
        </w:rPr>
        <w:t xml:space="preserve">For fair values determined by Level 1 inputs, which utilize quoted prices in active markets for 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 </w:t>
      </w:r>
    </w:p>
    <w:p>
      <w:pPr>
        <w:pStyle w:val="TextBody"/>
        <w:bidi w:val="0"/>
        <w:spacing w:lineRule="auto" w:line="288" w:before="24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of Other Financial Instruments </w:t>
      </w:r>
    </w:p>
    <w:p>
      <w:pPr>
        <w:pStyle w:val="TextBody"/>
        <w:bidi w:val="0"/>
        <w:spacing w:lineRule="auto" w:line="288" w:before="120" w:after="283"/>
        <w:ind w:left="0" w:right="0" w:firstLine="630"/>
        <w:jc w:val="left"/>
        <w:rPr>
          <w:color w:val="000000"/>
        </w:rPr>
      </w:pPr>
      <w:r>
        <w:rPr>
          <w:color w:val="000000"/>
        </w:rPr>
        <w:t> </w:t>
      </w:r>
      <w:r>
        <w:rPr>
          <w:rFonts w:ascii="Times New Roman;sans-serif" w:hAnsi="Times New Roman;sans-serif"/>
          <w:b w:val="false"/>
          <w:color w:val="000000"/>
          <w:sz w:val="20"/>
        </w:rPr>
        <w:t>The carrying amounts of certain of our financial instruments, including cash and cash equivalents, accounts payable, and accrued expenses approximate fair value due to their short-term nature.</w:t>
      </w:r>
    </w:p>
    <w:p>
      <w:pPr>
        <w:pStyle w:val="TextBody"/>
        <w:bidi w:val="0"/>
        <w:spacing w:lineRule="auto" w:line="288" w:before="24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Available for Sale Investments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December 31, 2024 are as follows:</w:t>
      </w:r>
    </w:p>
    <w:tbl>
      <w:tblPr>
        <w:tblW w:w="9452"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361"/>
        <w:gridCol w:w="800"/>
        <w:gridCol w:w="189"/>
        <w:gridCol w:w="109"/>
        <w:gridCol w:w="109"/>
        <w:gridCol w:w="109"/>
        <w:gridCol w:w="417"/>
        <w:gridCol w:w="745"/>
        <w:gridCol w:w="218"/>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bottom w:val="doub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available-for-sale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Of our outstanding agency securities, $7.6 million have maturity dates of less than one year and $0.0 million have a maturity date of between one to two years as of December 31, 2024.</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Of our outstanding commercial and corporate</w:t>
      </w:r>
      <w:r>
        <w:rPr>
          <w:color w:val="000000"/>
        </w:rPr>
        <w:t xml:space="preserve"> </w:t>
      </w:r>
      <w:r>
        <w:rPr>
          <w:rFonts w:ascii="Times New Roman;sans-serif" w:hAnsi="Times New Roman;sans-serif"/>
          <w:b w:val="false"/>
          <w:color w:val="000000"/>
          <w:sz w:val="20"/>
        </w:rPr>
        <w:t>obligations, $10.7 million have maturity dates of less than one year and $0.0 million have a maturity date of between one to two years as of December 31, 2024.</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Of our outstanding U.S. Treasury securities, $249.0 million have maturity dates of less than one year and $35.5 million have a maturity date of between one to two years as of December 31, 2024.</w:t>
      </w:r>
    </w:p>
    <w:p>
      <w:pPr>
        <w:pStyle w:val="TextBody"/>
        <w:bidi w:val="0"/>
        <w:spacing w:lineRule="auto" w:line="288" w:before="240" w:after="240"/>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cost basis, and gross unrealized gains and losses of available-for-sale investments by security type, classified in cash equivalents, short-term and long-term investments as of December 31, 2023 are as follows:</w:t>
      </w:r>
    </w:p>
    <w:tbl>
      <w:tblPr>
        <w:tblW w:w="9451"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361"/>
        <w:gridCol w:w="800"/>
        <w:gridCol w:w="189"/>
        <w:gridCol w:w="109"/>
        <w:gridCol w:w="109"/>
        <w:gridCol w:w="109"/>
        <w:gridCol w:w="359"/>
        <w:gridCol w:w="834"/>
        <w:gridCol w:w="186"/>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available-for-sale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5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Of our outstanding agency securities, $20.3 million have maturity dates of less than one year and $0.0 million have a maturity date of between one to two years as of December 31, 2023.</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Of our outstanding certificates of deposit, $0.2 million have a maturity date of less than one year and $0.0 million have a maturity date of between one to two years as of December 31, 2023.</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Of our outstanding commercial and corporate</w:t>
      </w:r>
      <w:r>
        <w:rPr>
          <w:color w:val="000000"/>
        </w:rPr>
        <w:t xml:space="preserve"> </w:t>
      </w:r>
      <w:r>
        <w:rPr>
          <w:rFonts w:ascii="Times New Roman;sans-serif" w:hAnsi="Times New Roman;sans-serif"/>
          <w:b w:val="false"/>
          <w:color w:val="000000"/>
          <w:sz w:val="20"/>
        </w:rPr>
        <w:t xml:space="preserve">obligations, $25.8 million have maturity dates of less than one year and $10.0 million have a maturity date of between one to two years as of December 31, 2023. </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(4)    </w:t>
      </w:r>
      <w:r>
        <w:rPr>
          <w:rFonts w:ascii="Times New Roman;sans-serif" w:hAnsi="Times New Roman;sans-serif"/>
          <w:b w:val="false"/>
          <w:color w:val="000000"/>
          <w:sz w:val="20"/>
        </w:rPr>
        <w:t>Of our outstanding U.S. Treasury securities, $308.6 million have maturity dates of less than one year and $17.1 million have a maturity date of between one to two years as of December 31, 2023.</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gross unrealized losses and fair values for those investments that were in an unrealized loss position as of December 31, 2024 and December 31, 2023, aggregated by investment category and the length of time that individual securities have been in a continuous loss position:</w:t>
      </w:r>
    </w:p>
    <w:tbl>
      <w:tblPr>
        <w:tblW w:w="10205" w:type="dxa"/>
        <w:jc w:val="left"/>
        <w:tblInd w:w="0" w:type="dxa"/>
        <w:tblLayout w:type="fixed"/>
        <w:tblCellMar>
          <w:top w:w="28" w:type="dxa"/>
          <w:left w:w="28" w:type="dxa"/>
          <w:bottom w:w="28" w:type="dxa"/>
          <w:right w:w="28" w:type="dxa"/>
        </w:tblCellMar>
      </w:tblPr>
      <w:tblGrid>
        <w:gridCol w:w="640"/>
        <w:gridCol w:w="551"/>
        <w:gridCol w:w="552"/>
        <w:gridCol w:w="211"/>
        <w:gridCol w:w="721"/>
        <w:gridCol w:w="109"/>
        <w:gridCol w:w="109"/>
        <w:gridCol w:w="109"/>
        <w:gridCol w:w="109"/>
        <w:gridCol w:w="387"/>
        <w:gridCol w:w="692"/>
        <w:gridCol w:w="202"/>
        <w:gridCol w:w="109"/>
        <w:gridCol w:w="109"/>
        <w:gridCol w:w="109"/>
        <w:gridCol w:w="247"/>
        <w:gridCol w:w="477"/>
        <w:gridCol w:w="128"/>
        <w:gridCol w:w="109"/>
        <w:gridCol w:w="109"/>
        <w:gridCol w:w="109"/>
        <w:gridCol w:w="371"/>
        <w:gridCol w:w="716"/>
        <w:gridCol w:w="193"/>
        <w:gridCol w:w="109"/>
        <w:gridCol w:w="109"/>
        <w:gridCol w:w="109"/>
        <w:gridCol w:w="211"/>
        <w:gridCol w:w="721"/>
        <w:gridCol w:w="109"/>
        <w:gridCol w:w="109"/>
        <w:gridCol w:w="109"/>
        <w:gridCol w:w="109"/>
        <w:gridCol w:w="377"/>
        <w:gridCol w:w="672"/>
        <w:gridCol w:w="283"/>
      </w:tblGrid>
      <w:tr>
        <w:trPr/>
        <w:tc>
          <w:tcPr>
            <w:tcW w:w="64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92"/>
        <w:gridCol w:w="547"/>
        <w:gridCol w:w="548"/>
        <w:gridCol w:w="211"/>
        <w:gridCol w:w="826"/>
        <w:gridCol w:w="109"/>
        <w:gridCol w:w="109"/>
        <w:gridCol w:w="109"/>
        <w:gridCol w:w="109"/>
        <w:gridCol w:w="279"/>
        <w:gridCol w:w="642"/>
        <w:gridCol w:w="144"/>
        <w:gridCol w:w="109"/>
        <w:gridCol w:w="109"/>
        <w:gridCol w:w="109"/>
        <w:gridCol w:w="211"/>
        <w:gridCol w:w="826"/>
        <w:gridCol w:w="109"/>
        <w:gridCol w:w="109"/>
        <w:gridCol w:w="109"/>
        <w:gridCol w:w="109"/>
        <w:gridCol w:w="279"/>
        <w:gridCol w:w="642"/>
        <w:gridCol w:w="144"/>
        <w:gridCol w:w="109"/>
        <w:gridCol w:w="109"/>
        <w:gridCol w:w="109"/>
        <w:gridCol w:w="211"/>
        <w:gridCol w:w="826"/>
        <w:gridCol w:w="109"/>
        <w:gridCol w:w="109"/>
        <w:gridCol w:w="109"/>
        <w:gridCol w:w="109"/>
        <w:gridCol w:w="275"/>
        <w:gridCol w:w="634"/>
        <w:gridCol w:w="206"/>
      </w:tblGrid>
      <w:tr>
        <w:trPr/>
        <w:tc>
          <w:tcPr>
            <w:tcW w:w="79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corporate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and 2023, unrealized losses on available-for-sale investments were less than $0.1 million and $0.8 million, respectively, with no unrealized losses, on available for sale investments that were in an unrealized loss position for greater than 12 months as of December 31, 2024. We do not intend to sell the investments and it is not more likely than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that we will be required to sell the investments before recovery of their amortized cost basis, accordingly, no allowance for credit losses was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7. Stockholders’ Equity </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Common Stock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Of the 500,000,000 shares of common stock authorized, 30,473,443 shares were issued and outstanding as of December 31, 2024.</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our Board of Directors authorized a stock repurchase program (the “Repurchase Program”) to repurchase up to $50.0 million of our outstanding common stock. The Repurchase Program was completed in May 2023. The following table presents the repurchase activity from January 1, 2023 through May 5, 2023, the end date of the Repurchase Program:</w:t>
      </w:r>
    </w:p>
    <w:tbl>
      <w:tblPr>
        <w:tblW w:w="10205" w:type="dxa"/>
        <w:jc w:val="left"/>
        <w:tblInd w:w="0" w:type="dxa"/>
        <w:tblLayout w:type="fixed"/>
        <w:tblCellMar>
          <w:top w:w="28" w:type="dxa"/>
          <w:left w:w="28" w:type="dxa"/>
          <w:bottom w:w="28" w:type="dxa"/>
          <w:right w:w="28" w:type="dxa"/>
        </w:tblCellMar>
      </w:tblPr>
      <w:tblGrid>
        <w:gridCol w:w="626"/>
        <w:gridCol w:w="549"/>
        <w:gridCol w:w="554"/>
        <w:gridCol w:w="839"/>
        <w:gridCol w:w="802"/>
        <w:gridCol w:w="805"/>
        <w:gridCol w:w="109"/>
        <w:gridCol w:w="109"/>
        <w:gridCol w:w="109"/>
        <w:gridCol w:w="471"/>
        <w:gridCol w:w="1376"/>
        <w:gridCol w:w="242"/>
        <w:gridCol w:w="109"/>
        <w:gridCol w:w="109"/>
        <w:gridCol w:w="109"/>
        <w:gridCol w:w="634"/>
        <w:gridCol w:w="2177"/>
        <w:gridCol w:w="476"/>
      </w:tblGrid>
      <w:tr>
        <w:trPr/>
        <w:tc>
          <w:tcPr>
            <w:tcW w:w="6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purchased</w:t>
              <w:br/>
              <w:t>(in thousands)</w:t>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2023</w:t>
            </w:r>
          </w:p>
        </w:tc>
        <w:tc>
          <w:tcPr>
            <w:tcW w:w="1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1,589,424 </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38,456 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2023</w:t>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534,790 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6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2,124,214 </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repurchased common stock was subsequently retired after the repurchase and the par value of the shares was charged to common stock. The excess of the repurchase price over the par value was applied against additional paid in capital.</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we entered into a sales agreement with TD Securities (USA) LLC (“TD Cowen”), through which we may offer and sell shares of our common stock, having an aggregate offering of up to $100.0 million through TD Cowen as our sales agent. Our prior sales agreement with Cowen terminated upon effectiveness of the registration statement on the Form S-3 we filed in connection with our sales agreement with TD Cowen. As of December 31, 2024, we had sold no shares under this agreement.</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Underwriting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2024, we entered into an underwriting agreement with TD Securities (USA) LLC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8. Equity Incentive Plans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2017 Equity Incentive Plan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were to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1,063,871 shares as of January 1, 2024. At our annual stockholder meeting on June 12, 2024, the 2017 Plan was amended, eliminating the automatic annual share increase and the number of shares available for issuance was increased by 2,700,000 shares. All future share increases will require stockholder approval. As of December 31, 2024, 2,882,340 shares were available for future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2017, our Board of Directors and stockholders approved and adopted the 2017 Employee Stock Purchase Plan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265,967 shares as of January 1, 2024. As of December 31, 2024, 181,078 shares have been issued under the ESPP. As of December 31, 2024, 1,917,729 shares were available for future issuance under the ESPP.</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year ended December 31, 2024 is as follows: </w:t>
      </w:r>
    </w:p>
    <w:tbl>
      <w:tblPr>
        <w:tblW w:w="9100" w:type="dxa"/>
        <w:jc w:val="left"/>
        <w:tblInd w:w="0" w:type="dxa"/>
        <w:tblLayout w:type="fixed"/>
        <w:tblCellMar>
          <w:top w:w="28" w:type="dxa"/>
          <w:left w:w="28" w:type="dxa"/>
          <w:bottom w:w="28" w:type="dxa"/>
          <w:right w:w="28" w:type="dxa"/>
        </w:tblCellMar>
      </w:tblPr>
      <w:tblGrid>
        <w:gridCol w:w="1065"/>
        <w:gridCol w:w="934"/>
        <w:gridCol w:w="940"/>
        <w:gridCol w:w="488"/>
        <w:gridCol w:w="488"/>
        <w:gridCol w:w="281"/>
        <w:gridCol w:w="109"/>
        <w:gridCol w:w="109"/>
        <w:gridCol w:w="109"/>
        <w:gridCol w:w="331"/>
        <w:gridCol w:w="968"/>
        <w:gridCol w:w="172"/>
        <w:gridCol w:w="109"/>
        <w:gridCol w:w="109"/>
        <w:gridCol w:w="109"/>
        <w:gridCol w:w="490"/>
        <w:gridCol w:w="490"/>
        <w:gridCol w:w="491"/>
        <w:gridCol w:w="109"/>
        <w:gridCol w:w="109"/>
        <w:gridCol w:w="109"/>
        <w:gridCol w:w="211"/>
        <w:gridCol w:w="61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Shares</w:t>
              <w:br/>
              <w:t>Subject to</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w:t>
              <w:br/>
              <w:t>Price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w:t>
              <w:br/>
              <w:t>thousands)</w:t>
            </w:r>
          </w:p>
        </w:tc>
      </w:tr>
      <w:tr>
        <w:trPr/>
        <w:tc>
          <w:tcPr>
            <w:tcW w:w="29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97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4,225,615 </w:t>
            </w:r>
          </w:p>
        </w:tc>
        <w:tc>
          <w:tcPr>
            <w:tcW w:w="2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2,423,788 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Exercises</w:t>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(282,210)</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and cancellations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(280,904)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97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6,086,289 </w:t>
            </w:r>
          </w:p>
        </w:tc>
        <w:tc>
          <w:tcPr>
            <w:tcW w:w="2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2,829,196 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received from the exercise of stock options was approximately $5.3 million during the year ended December 31, 2024.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Time-Based Restricted Stock Units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tbl>
      <w:tblPr>
        <w:tblW w:w="10205" w:type="dxa"/>
        <w:jc w:val="left"/>
        <w:tblInd w:w="0" w:type="dxa"/>
        <w:tblLayout w:type="fixed"/>
        <w:tblCellMar>
          <w:top w:w="28" w:type="dxa"/>
          <w:left w:w="28" w:type="dxa"/>
          <w:bottom w:w="28" w:type="dxa"/>
          <w:right w:w="28" w:type="dxa"/>
        </w:tblCellMar>
      </w:tblPr>
      <w:tblGrid>
        <w:gridCol w:w="907"/>
        <w:gridCol w:w="763"/>
        <w:gridCol w:w="767"/>
        <w:gridCol w:w="777"/>
        <w:gridCol w:w="562"/>
        <w:gridCol w:w="564"/>
        <w:gridCol w:w="109"/>
        <w:gridCol w:w="109"/>
        <w:gridCol w:w="109"/>
        <w:gridCol w:w="523"/>
        <w:gridCol w:w="1530"/>
        <w:gridCol w:w="271"/>
        <w:gridCol w:w="109"/>
        <w:gridCol w:w="109"/>
        <w:gridCol w:w="109"/>
        <w:gridCol w:w="490"/>
        <w:gridCol w:w="490"/>
        <w:gridCol w:w="491"/>
        <w:gridCol w:w="109"/>
        <w:gridCol w:w="109"/>
        <w:gridCol w:w="109"/>
        <w:gridCol w:w="211"/>
        <w:gridCol w:w="721"/>
        <w:gridCol w:w="157"/>
      </w:tblGrid>
      <w:tr>
        <w:trPr/>
        <w:tc>
          <w:tcPr>
            <w:tcW w:w="90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Term</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w:t>
              <w:br/>
              <w:t>thousands)</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1,481,572 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882,385 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(1,108,333)</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and cancellations</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(27,947)</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1,227,677 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expected to vest at December 31, 2024</w:t>
            </w:r>
          </w:p>
        </w:tc>
        <w:tc>
          <w:tcPr>
            <w:tcW w:w="13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1,227,677 </w:t>
            </w:r>
          </w:p>
        </w:tc>
        <w:tc>
          <w:tcPr>
            <w:tcW w:w="5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Performance Stock Units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Stock Unit (“PSU”) represents one equivalent share of our common stock to be issued after achievement of the performance metrics specified in the grant. 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tbl>
      <w:tblPr>
        <w:tblW w:w="4045" w:type="dxa"/>
        <w:jc w:val="center"/>
        <w:tblInd w:w="0" w:type="dxa"/>
        <w:tblLayout w:type="fixed"/>
        <w:tblCellMar>
          <w:top w:w="28" w:type="dxa"/>
          <w:left w:w="28" w:type="dxa"/>
          <w:bottom w:w="28" w:type="dxa"/>
          <w:right w:w="28" w:type="dxa"/>
        </w:tblCellMar>
      </w:tblPr>
      <w:tblGrid>
        <w:gridCol w:w="853"/>
        <w:gridCol w:w="748"/>
        <w:gridCol w:w="753"/>
        <w:gridCol w:w="262"/>
        <w:gridCol w:w="262"/>
        <w:gridCol w:w="262"/>
        <w:gridCol w:w="262"/>
        <w:gridCol w:w="262"/>
        <w:gridCol w:w="381"/>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br/>
              <w:t>December 31,</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3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 of common stock</w:t>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 (in years)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requisite service period over which the compensation expense will be recognized is July 22, 2024 through July 1, 2028.</w:t>
      </w:r>
    </w:p>
    <w:p>
      <w:pPr>
        <w:pStyle w:val="TextBody"/>
        <w:bidi w:val="0"/>
        <w:spacing w:lineRule="auto" w:line="288" w:before="12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activity with respect to our PSUs:</w:t>
      </w:r>
    </w:p>
    <w:tbl>
      <w:tblPr>
        <w:tblW w:w="10205" w:type="dxa"/>
        <w:jc w:val="left"/>
        <w:tblInd w:w="0" w:type="dxa"/>
        <w:tblLayout w:type="fixed"/>
        <w:tblCellMar>
          <w:top w:w="28" w:type="dxa"/>
          <w:left w:w="28" w:type="dxa"/>
          <w:bottom w:w="28" w:type="dxa"/>
          <w:right w:w="28" w:type="dxa"/>
        </w:tblCellMar>
      </w:tblPr>
      <w:tblGrid>
        <w:gridCol w:w="757"/>
        <w:gridCol w:w="664"/>
        <w:gridCol w:w="668"/>
        <w:gridCol w:w="708"/>
        <w:gridCol w:w="649"/>
        <w:gridCol w:w="652"/>
        <w:gridCol w:w="109"/>
        <w:gridCol w:w="109"/>
        <w:gridCol w:w="109"/>
        <w:gridCol w:w="535"/>
        <w:gridCol w:w="1566"/>
        <w:gridCol w:w="277"/>
        <w:gridCol w:w="109"/>
        <w:gridCol w:w="109"/>
        <w:gridCol w:w="109"/>
        <w:gridCol w:w="899"/>
        <w:gridCol w:w="899"/>
        <w:gridCol w:w="1277"/>
      </w:tblGrid>
      <w:tr>
        <w:trPr/>
        <w:tc>
          <w:tcPr>
            <w:tcW w:w="7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Performance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(in years)</w:t>
            </w:r>
          </w:p>
        </w:tc>
      </w:tr>
      <w:tr>
        <w:trPr/>
        <w:tc>
          <w:tcPr>
            <w:tcW w:w="20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135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511,000 </w:t>
            </w:r>
          </w:p>
        </w:tc>
        <w:tc>
          <w:tcPr>
            <w:tcW w:w="6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35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6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1357"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504,500 </w:t>
            </w:r>
          </w:p>
        </w:tc>
        <w:tc>
          <w:tcPr>
            <w:tcW w:w="65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r>
    </w:tbl>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Expense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tbl>
      <w:tblPr>
        <w:tblW w:w="7392" w:type="dxa"/>
        <w:jc w:val="left"/>
        <w:tblInd w:w="0" w:type="dxa"/>
        <w:tblLayout w:type="fixed"/>
        <w:tblCellMar>
          <w:top w:w="28" w:type="dxa"/>
          <w:left w:w="28" w:type="dxa"/>
          <w:bottom w:w="28" w:type="dxa"/>
          <w:right w:w="28" w:type="dxa"/>
        </w:tblCellMar>
      </w:tblPr>
      <w:tblGrid>
        <w:gridCol w:w="1456"/>
        <w:gridCol w:w="1278"/>
        <w:gridCol w:w="1286"/>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145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r>
      <w:tr>
        <w:trPr/>
        <w:tc>
          <w:tcPr>
            <w:tcW w:w="40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stock-based compensation expense for all stock awards that was recognized in the consolidated statements of operations and comprehensive loss is as follows:</w:t>
      </w:r>
    </w:p>
    <w:tbl>
      <w:tblPr>
        <w:tblW w:w="7548" w:type="dxa"/>
        <w:jc w:val="left"/>
        <w:tblInd w:w="0" w:type="dxa"/>
        <w:tblLayout w:type="fixed"/>
        <w:tblCellMar>
          <w:top w:w="28" w:type="dxa"/>
          <w:left w:w="28" w:type="dxa"/>
          <w:bottom w:w="28" w:type="dxa"/>
          <w:right w:w="28" w:type="dxa"/>
        </w:tblCellMar>
      </w:tblPr>
      <w:tblGrid>
        <w:gridCol w:w="833"/>
        <w:gridCol w:w="734"/>
        <w:gridCol w:w="742"/>
        <w:gridCol w:w="109"/>
        <w:gridCol w:w="109"/>
        <w:gridCol w:w="109"/>
        <w:gridCol w:w="109"/>
        <w:gridCol w:w="211"/>
        <w:gridCol w:w="721"/>
        <w:gridCol w:w="109"/>
        <w:gridCol w:w="109"/>
        <w:gridCol w:w="109"/>
        <w:gridCol w:w="109"/>
        <w:gridCol w:w="109"/>
        <w:gridCol w:w="109"/>
        <w:gridCol w:w="109"/>
        <w:gridCol w:w="211"/>
        <w:gridCol w:w="721"/>
        <w:gridCol w:w="109"/>
        <w:gridCol w:w="109"/>
        <w:gridCol w:w="109"/>
        <w:gridCol w:w="109"/>
        <w:gridCol w:w="109"/>
        <w:gridCol w:w="109"/>
        <w:gridCol w:w="109"/>
        <w:gridCol w:w="211"/>
        <w:gridCol w:w="721"/>
        <w:gridCol w:w="109"/>
        <w:gridCol w:w="109"/>
        <w:gridCol w:w="109"/>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8" w:type="dxa"/>
            <w:gridSpan w:val="2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Includes $2.6 million related to two year RSU initially issued to our Chief Executive Officer in March 2022 and now fully recognized.</w:t>
      </w:r>
    </w:p>
    <w:p>
      <w:pPr>
        <w:pStyle w:val="TextBody"/>
        <w:bidi w:val="0"/>
        <w:spacing w:lineRule="auto" w:line="288" w:before="80" w:after="283"/>
        <w:ind w:left="0" w:right="0" w:hanging="45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Includes $11.7 million related to two year RSU initially issued to our Chief Executive Officer in March 2022 and now fully recognized.</w:t>
      </w:r>
    </w:p>
    <w:p>
      <w:pPr>
        <w:pStyle w:val="TextBody"/>
        <w:bidi w:val="0"/>
        <w:spacing w:lineRule="auto" w:line="288" w:before="80" w:after="283"/>
        <w:ind w:left="0" w:right="0" w:hanging="450"/>
        <w:jc w:val="left"/>
        <w:rPr/>
      </w:pPr>
      <w:r>
        <w:rPr>
          <w:rFonts w:ascii="Times New Roman;sans-serif" w:hAnsi="Times New Roman;sans-serif"/>
          <w:b w:val="false"/>
          <w:color w:val="000000"/>
          <w:sz w:val="13"/>
        </w:rPr>
        <w:t>(3)</w:t>
      </w:r>
      <w:r>
        <w:rPr>
          <w:color w:val="000000"/>
        </w:rPr>
        <w:t>    </w:t>
      </w:r>
      <w:r>
        <w:rPr>
          <w:rFonts w:ascii="Times New Roman;sans-serif" w:hAnsi="Times New Roman;sans-serif"/>
          <w:b w:val="false"/>
          <w:color w:val="000000"/>
          <w:sz w:val="20"/>
        </w:rPr>
        <w:t>Includes $9.2 million related to two year RSU initially issued to our Chief Executive Officer in March 2022 and now fully recognized.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there was $44.1 million of unrecognized compensation cost related to unvested stock option awards, which is expected to be recognized over a remaining weighted average vesting period of 2.75 years, $20.1 million of unrecognized cost related to unvested RSU awards, which is expected to be recognized over a period of 2.75 years, $11.0 million of unrecognized cost related to unvested PSU awards, which is expected to be recognized over a period of 3.52 years, and $0.4 million of unrecognized compensation cost related to the ESPP, which is expected to be recognized over a remaining weighted-average vesting period of 0.37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9. Employee Benefit Plan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a defined contribution 401(k) plan available to eligible employees. Employee contributions are voluntary and are determined on an individual basis, limited to the maximum amount allowable under U.S. federal tax regulations. We elected to match 100% of an employee’s contributions up to 10% of the employees’ eligible salary with a maximum limit of $23,000 in 2024, 100% of an employee’s contribution up to 10% of the employees’ salary with a maximum limit of $22,500 in 2023, and 100% of an employee’s contribution up to 6% of the employee’s salary with a maximum limit of $11,000 in 2022. For the years ended December 31, 2024, 2023, and 2022, we incurred approximately $2.2 million, $1.6 million, and $1.0 million, respectively of costs related to the 401(k)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20" w:after="283"/>
        <w:ind w:left="0" w:right="0" w:firstLine="315"/>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right-of-use asset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December 31, 2024, we have recorded $0.3 million as a security deposit in accordance with the terms of the Lease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6.7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non-cancellable office lease costs are included in our consolidated statements of cash flow (in thousands):</w:t>
      </w:r>
    </w:p>
    <w:tbl>
      <w:tblPr>
        <w:tblW w:w="10205" w:type="dxa"/>
        <w:jc w:val="left"/>
        <w:tblInd w:w="0" w:type="dxa"/>
        <w:tblLayout w:type="fixed"/>
        <w:tblCellMar>
          <w:top w:w="28" w:type="dxa"/>
          <w:left w:w="28" w:type="dxa"/>
          <w:bottom w:w="28" w:type="dxa"/>
          <w:right w:w="28" w:type="dxa"/>
        </w:tblCellMar>
      </w:tblPr>
      <w:tblGrid>
        <w:gridCol w:w="1550"/>
        <w:gridCol w:w="1280"/>
        <w:gridCol w:w="1301"/>
        <w:gridCol w:w="109"/>
        <w:gridCol w:w="109"/>
        <w:gridCol w:w="109"/>
        <w:gridCol w:w="636"/>
        <w:gridCol w:w="636"/>
        <w:gridCol w:w="638"/>
        <w:gridCol w:w="109"/>
        <w:gridCol w:w="109"/>
        <w:gridCol w:w="109"/>
        <w:gridCol w:w="211"/>
        <w:gridCol w:w="616"/>
        <w:gridCol w:w="109"/>
        <w:gridCol w:w="109"/>
        <w:gridCol w:w="109"/>
        <w:gridCol w:w="109"/>
        <w:gridCol w:w="211"/>
        <w:gridCol w:w="616"/>
        <w:gridCol w:w="109"/>
        <w:gridCol w:w="109"/>
        <w:gridCol w:w="109"/>
        <w:gridCol w:w="109"/>
        <w:gridCol w:w="211"/>
        <w:gridCol w:w="616"/>
        <w:gridCol w:w="157"/>
      </w:tblGrid>
      <w:tr>
        <w:trPr/>
        <w:tc>
          <w:tcPr>
            <w:tcW w:w="155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 on the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future minimum annual obligations for the Company’s operating lease liabilities are as follows:</w:t>
      </w:r>
    </w:p>
    <w:tbl>
      <w:tblPr>
        <w:tblW w:w="4608" w:type="dxa"/>
        <w:jc w:val="center"/>
        <w:tblInd w:w="0" w:type="dxa"/>
        <w:tblLayout w:type="fixed"/>
        <w:tblCellMar>
          <w:top w:w="28" w:type="dxa"/>
          <w:left w:w="28" w:type="dxa"/>
          <w:bottom w:w="28" w:type="dxa"/>
          <w:right w:w="28" w:type="dxa"/>
        </w:tblCellMar>
      </w:tblPr>
      <w:tblGrid>
        <w:gridCol w:w="1155"/>
        <w:gridCol w:w="1018"/>
        <w:gridCol w:w="1022"/>
        <w:gridCol w:w="109"/>
        <w:gridCol w:w="109"/>
        <w:gridCol w:w="109"/>
        <w:gridCol w:w="211"/>
        <w:gridCol w:w="721"/>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 required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15"/>
        <w:jc w:val="left"/>
        <w:rPr>
          <w:rFonts w:ascii="Times New Roman;sans-serif" w:hAnsi="Times New Roman;sans-serif"/>
          <w:b/>
          <w:i/>
          <w:color w:val="000000"/>
          <w:sz w:val="20"/>
        </w:rPr>
      </w:pPr>
      <w:r>
        <w:rPr>
          <w:rFonts w:ascii="Times New Roman;sans-serif" w:hAnsi="Times New Roman;sans-serif"/>
          <w:b/>
          <w:i/>
          <w:color w:val="000000"/>
          <w:sz w:val="20"/>
        </w:rPr>
        <w:t>Other Commitments and Contingencies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pStyle w:val="TextBody"/>
        <w:bidi w:val="0"/>
        <w:spacing w:lineRule="auto" w:line="288" w:before="240" w:after="283"/>
        <w:ind w:left="0" w:right="0" w:firstLine="315"/>
        <w:jc w:val="left"/>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standard indemnification arrangements in the ordinary course of business. Pursuant to certain of these arrangements, we indemnify, hold harmless, and agree to reimburse the indemnified parties for losses suffered or incurred by the indemnified party for third 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fair value of these indemnification obligations is minimal. Accordingly, we have not recognized any liabilities relating to these obligations for any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11. Segment Reporting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as one reportable segment focused on research and development activities to deliver immunology therapeutics for autoimmune and inflammatory diseases. Segment profit or loss is measured as the net loss reported on our Consolidated Statements of Operations and Comprehensive Loss and net loss is used to monitor results. Our segment revenue consists of non-cash royalties and milestones, and is derived from collaboration agreements, see Note 4. The measure of segment assets is reported on our Consolidated Balance Sheets as total assets.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CODM is our Chief Executive Officer. The CODM manages the business activities on a consolidated basis in making decisions regarding resource allocation and performance assessment.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segment revenue, loss and our significant expenses (in thousands):</w:t>
      </w:r>
    </w:p>
    <w:tbl>
      <w:tblPr>
        <w:tblW w:w="7722" w:type="dxa"/>
        <w:jc w:val="left"/>
        <w:tblInd w:w="0" w:type="dxa"/>
        <w:tblLayout w:type="fixed"/>
        <w:tblCellMar>
          <w:top w:w="28" w:type="dxa"/>
          <w:left w:w="28" w:type="dxa"/>
          <w:bottom w:w="28" w:type="dxa"/>
          <w:right w:w="28" w:type="dxa"/>
        </w:tblCellMar>
      </w:tblPr>
      <w:tblGrid>
        <w:gridCol w:w="1414"/>
        <w:gridCol w:w="1240"/>
        <w:gridCol w:w="1246"/>
        <w:gridCol w:w="211"/>
        <w:gridCol w:w="721"/>
        <w:gridCol w:w="109"/>
        <w:gridCol w:w="109"/>
        <w:gridCol w:w="109"/>
        <w:gridCol w:w="109"/>
        <w:gridCol w:w="211"/>
        <w:gridCol w:w="721"/>
        <w:gridCol w:w="109"/>
        <w:gridCol w:w="109"/>
        <w:gridCol w:w="109"/>
        <w:gridCol w:w="109"/>
        <w:gridCol w:w="211"/>
        <w:gridCol w:w="721"/>
        <w:gridCol w:w="154"/>
      </w:tblGrid>
      <w:tr>
        <w:trPr/>
        <w:tc>
          <w:tcPr>
            <w:tcW w:w="141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R&amp;D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Rosnilimab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ANB032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ANB033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ANB101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Imsidolimab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and other unallocated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External R&amp;D</w:t>
            </w:r>
            <w:r>
              <w:rPr>
                <w:rFonts w:ascii="Times New Roman;sans-serif" w:hAnsi="Times New Roman;sans-serif"/>
                <w:b w:val="false"/>
                <w:color w:val="000000"/>
                <w:sz w:val="13"/>
              </w:rPr>
              <w:t>(1)</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Internal R&amp;D</w:t>
            </w:r>
            <w:r>
              <w:rPr>
                <w:rFonts w:ascii="Times New Roman;sans-serif" w:hAnsi="Times New Roman;sans-serif"/>
                <w:b w:val="false"/>
                <w:color w:val="000000"/>
                <w:sz w:val="13"/>
              </w:rPr>
              <w:t>(2)</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R&amp;D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External G&amp;A</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Internal G&amp;A</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G&amp;A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Benefit for income taxes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loss</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(128,724)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5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External R&amp;D consists of costs associated with our research and development activities, including drug discovery efforts, preclinical and clinical development of our programs, manufacturing, and allocated facility-related costs.</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Internal R&amp;D and G&amp;A consist of salaries and wages, stock-based compensation, recruiting and other employee benefits.</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External G&amp;A consists of general and administrative expenses including legal services, insurance, professional fees for auditing, tax, and market research, and allocated facility-related costs not otherwise included in research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loss before income tax provision consist of the following:</w:t>
      </w:r>
    </w:p>
    <w:tbl>
      <w:tblPr>
        <w:tblW w:w="7901" w:type="dxa"/>
        <w:jc w:val="left"/>
        <w:tblInd w:w="0" w:type="dxa"/>
        <w:tblLayout w:type="fixed"/>
        <w:tblCellMar>
          <w:top w:w="28" w:type="dxa"/>
          <w:left w:w="28" w:type="dxa"/>
          <w:bottom w:w="28" w:type="dxa"/>
          <w:right w:w="28" w:type="dxa"/>
        </w:tblCellMar>
      </w:tblPr>
      <w:tblGrid>
        <w:gridCol w:w="1278"/>
        <w:gridCol w:w="1126"/>
        <w:gridCol w:w="1135"/>
        <w:gridCol w:w="211"/>
        <w:gridCol w:w="901"/>
        <w:gridCol w:w="109"/>
        <w:gridCol w:w="109"/>
        <w:gridCol w:w="109"/>
        <w:gridCol w:w="109"/>
        <w:gridCol w:w="211"/>
        <w:gridCol w:w="901"/>
        <w:gridCol w:w="109"/>
        <w:gridCol w:w="109"/>
        <w:gridCol w:w="109"/>
        <w:gridCol w:w="109"/>
        <w:gridCol w:w="211"/>
        <w:gridCol w:w="90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we recognized income tax provision of $3,000, income tax benefit of $4,000, and income tax provision of $24,000 respectively, related to state income taxes.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our deferred tax assets and liabilities are as follows:</w:t>
      </w:r>
    </w:p>
    <w:tbl>
      <w:tblPr>
        <w:tblW w:w="6323" w:type="dxa"/>
        <w:jc w:val="left"/>
        <w:tblInd w:w="0" w:type="dxa"/>
        <w:tblLayout w:type="fixed"/>
        <w:tblCellMar>
          <w:top w:w="28" w:type="dxa"/>
          <w:left w:w="28" w:type="dxa"/>
          <w:bottom w:w="28" w:type="dxa"/>
          <w:right w:w="28" w:type="dxa"/>
        </w:tblCellMar>
      </w:tblPr>
      <w:tblGrid>
        <w:gridCol w:w="1401"/>
        <w:gridCol w:w="1232"/>
        <w:gridCol w:w="1236"/>
        <w:gridCol w:w="211"/>
        <w:gridCol w:w="721"/>
        <w:gridCol w:w="109"/>
        <w:gridCol w:w="109"/>
        <w:gridCol w:w="109"/>
        <w:gridCol w:w="109"/>
        <w:gridCol w:w="211"/>
        <w:gridCol w:w="721"/>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174 Capitalized R&amp;D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Zejula royalty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recorded a full valuation allowance against our net deferred tax assets due to the uncertainty surrounding the realization of such assets. Management has determined it more likely than not that the deferred tax assets are not realizable due to our historical loss position.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federal and state net operating loss carryforwards (“NOLs”), of $300.7 million and $73.0 million, respectively. The federal and state NOLs generated prior to 2018 will begin to expire in 2031 and 2028, respectively, unless previously utilized. The federal NOL includes $262.0 million of net operating losses generated in 2018 and after. Federal net operating losses generated in 2018 and after carryover indefinitely and may generally be used to offset up to 80% of future taxable income. As of December 31, 2024, we had federal and state research tax credit carryforwards of approximately $18.6 million and $17.4 million, respectively. The federal research tax credit carryforwards will begin to expire in 2041 and the state research tax credits carryforward indefinitely. We also have foreign tax losses of $2.8 million, which will carry forward indefinitely, subject to a continuity of ownership test.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above NOL carryforward and the federal and state research credit carryforwards may be subject to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experienced ownership changes as defined by Section 382 of the Code during 2007, 2017 and 2021. As a result, as of December 31, 2024, there are $114.6 million of federal NOLs available to offset taxable income in future years without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382 limitation, while $186.1 million of federal NOLs are subject to annual limitations over future periods. State NOL and credit carryforwards may be similarly limited.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federal and state NOLs and research credits could be further limited if we experience one or more ownership changes subsequent to December 31, 2024. If a change in ownership occurs, NOLs and tax credit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expected statutory federal income tax provision to our actual income tax provision:</w:t>
      </w:r>
    </w:p>
    <w:tbl>
      <w:tblPr>
        <w:tblW w:w="8697" w:type="dxa"/>
        <w:jc w:val="left"/>
        <w:tblInd w:w="0" w:type="dxa"/>
        <w:tblLayout w:type="fixed"/>
        <w:tblCellMar>
          <w:top w:w="28" w:type="dxa"/>
          <w:left w:w="28" w:type="dxa"/>
          <w:bottom w:w="28" w:type="dxa"/>
          <w:right w:w="28" w:type="dxa"/>
        </w:tblCellMar>
      </w:tblPr>
      <w:tblGrid>
        <w:gridCol w:w="1682"/>
        <w:gridCol w:w="1482"/>
        <w:gridCol w:w="1486"/>
        <w:gridCol w:w="211"/>
        <w:gridCol w:w="796"/>
        <w:gridCol w:w="109"/>
        <w:gridCol w:w="109"/>
        <w:gridCol w:w="109"/>
        <w:gridCol w:w="109"/>
        <w:gridCol w:w="211"/>
        <w:gridCol w:w="796"/>
        <w:gridCol w:w="109"/>
        <w:gridCol w:w="109"/>
        <w:gridCol w:w="109"/>
        <w:gridCol w:w="109"/>
        <w:gridCol w:w="211"/>
        <w:gridCol w:w="796"/>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income tax benefit at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items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(benefit)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As of December 31, 2024 and 2023, we had no unrecognized tax benefits that, if recognized and realized, would affect the effective tax rate due to the valuation allowance against deferred tax assets. The following table summarizes the activity related to our unrecognized tax benefits:</w:t>
      </w:r>
    </w:p>
    <w:tbl>
      <w:tblPr>
        <w:tblW w:w="6638" w:type="dxa"/>
        <w:jc w:val="left"/>
        <w:tblInd w:w="0" w:type="dxa"/>
        <w:tblLayout w:type="fixed"/>
        <w:tblCellMar>
          <w:top w:w="28" w:type="dxa"/>
          <w:left w:w="28" w:type="dxa"/>
          <w:bottom w:w="28" w:type="dxa"/>
          <w:right w:w="28" w:type="dxa"/>
        </w:tblCellMar>
      </w:tblPr>
      <w:tblGrid>
        <w:gridCol w:w="1590"/>
        <w:gridCol w:w="1400"/>
        <w:gridCol w:w="1404"/>
        <w:gridCol w:w="211"/>
        <w:gridCol w:w="616"/>
        <w:gridCol w:w="109"/>
        <w:gridCol w:w="109"/>
        <w:gridCol w:w="109"/>
        <w:gridCol w:w="109"/>
        <w:gridCol w:w="211"/>
        <w:gridCol w:w="616"/>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related to prior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related to current year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recognized, these amounts would not affect our effective tax rate, since they would be offset by an equal corresponding adjustment in the deferred tax asset valuation allowance. We do not anticipate there will be a significant change in unrecognized tax benefits within the next 12 months.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policy is to recognize interest and penalties related to income tax matters in the provision for income taxes. As of December 31, 2024 and 2023, there were no interest or penalties on uncertain tax benefits.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file income tax returns in the United States, California, various U.S. state jurisdictions and Australia. Due to our losses incurred, we are essentially subject to income tax examination by tax authorities from inception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 xml:space="preserve">13. Subsequent Event </w:t>
      </w:r>
    </w:p>
    <w:p>
      <w:pPr>
        <w:pStyle w:val="TextBody"/>
        <w:bidi w:val="0"/>
        <w:spacing w:lineRule="auto" w:line="288" w:before="120" w:after="283"/>
        <w:ind w:left="0" w:right="0" w:firstLine="315"/>
        <w:jc w:val="left"/>
        <w:rPr>
          <w:rFonts w:ascii="Times New Roman;sans-serif" w:hAnsi="Times New Roman;sans-serif"/>
          <w:b/>
          <w:i/>
          <w:color w:val="000000"/>
          <w:sz w:val="20"/>
        </w:rPr>
      </w:pPr>
      <w:r>
        <w:rPr>
          <w:rFonts w:ascii="Times New Roman;sans-serif" w:hAnsi="Times New Roman;sans-serif"/>
          <w:b/>
          <w:i/>
          <w:color w:val="000000"/>
          <w:sz w:val="20"/>
        </w:rPr>
        <w:t>Exclusive License Agreement</w:t>
      </w:r>
    </w:p>
    <w:p>
      <w:pPr>
        <w:pStyle w:val="TextBody"/>
        <w:bidi w:val="0"/>
        <w:spacing w:lineRule="auto" w:line="288" w:before="240" w:after="283"/>
        <w:ind w:left="0" w:right="0" w:firstLine="630"/>
        <w:jc w:val="left"/>
        <w:rPr/>
      </w:pPr>
      <w:r>
        <w:rPr>
          <w:rFonts w:ascii="Times New Roman;sans-serif" w:hAnsi="Times New Roman;sans-serif"/>
          <w:b w:val="false"/>
          <w:color w:val="000000"/>
          <w:sz w:val="20"/>
          <w:shd w:fill="FFFFFF" w:val="clear"/>
        </w:rPr>
        <w:t xml:space="preserve">On January 31, 2025, we entered into an Exclusive License Agreement (the “License Agreement”) with Vanda Pharmaceuticals Inc. (“Vanda”) pursuant to which we granted to Vanda </w:t>
      </w:r>
      <w:r>
        <w:rPr>
          <w:rFonts w:ascii="Times New Roman;sans-serif" w:hAnsi="Times New Roman;sans-serif"/>
          <w:b w:val="false"/>
          <w:color w:val="000000"/>
          <w:sz w:val="20"/>
        </w:rPr>
        <w:t>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License Agreement, we received an upfront payment of $10.0 million and a $5.0 million payment for existing drug supply. Anaptys is also eligible to receive up to $35.0 million for future regulatory approval and sales milestones in addition to a 10% royalty on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management, with the participation of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disclosures. Based on this evaluation, our principal executive officer and principal financial officer concluded that, as of December 31, 2024, the design and operation of our disclosure controls and procedures were effective at a reasonable assurance level.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of the Exchange Act. Management assessed the effectiveness of our internal control over financial reporting as of December 31, 2024. In making this assessment, management used the criteria set forth by the Committee of Sponsoring Organizations of the Treadway Commission (COSO) in Internal Control—Integrated Framework issued in 2013. Based upon the assessments, management has concluded that as of December 31, 2024 our internal control over financial reporting was effective to provide reasonable assurance regarding the reliability of financial reporting and the preparation of financial statements in accordance with GAAP.</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does not include an attestation report on internal control over financial reporting issued by our independent registered accounting firm. Our auditors will not be required to formally opine on the effectiveness of our internal control over financial reporting pursuant to Section 404(b) of the Sarbanes-Oxley Act of 2002 until we are no longer a smaller reporting company.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that occurred during the quarter ended December 31, 2024 that have materially affected, or are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2024, none of the Company’s directors or officers adopted or terminated any “Rule 10b5-1 trading arrangements” or any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an Insider Trading Policy governing the purchase, sale, and other dispositions of our securities that applies to all of our personnel, including directors, officers, employees, and other covered persons. The Insider Trading Policy also provides that the Company will not transact in its own securities unless in compliance with U.S. federal and state securities laws. We believe that our Insider Trading Policy is reasonably designed to promote compliance with insider trading laws, rules and regulations, and listing standards applicable to the Company. A copy of the Insider Trading Policy is filed as Exhibit 19.1 to this Annual Report.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information required by this Item is incorporated herein by reference to the sections titled “Information about our Executive Officers,” “Election of Class II Directors,” “Corporate Governance Standards and Director Independence”, “Insider Trading Policy” and “Security Ownership of Certain Beneficial Owners and Management” in our Definitive Proxy Statement with respect to our 2025 Annual Meeting of Stockholders to be filed with the SEC within 120 days after the end of the fiscal year covered by this Annual Report on Form 10-K.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regard to the information required by this item regarding compliance with Section 16(a) of the Exchange Act, we will provide disclosure of delinquent Section 16(a) reports, if any, in our Proxy Statement related to the 2025 Annual Meeting of Stockholders, and such disclosure, if any,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herein by reference to the section titled “Executive Compensation,” “Election of Class II Directors,” and “Corporate Governance Standards and Director Independence” in our Definitive Proxy Statement with respect to our 2025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herein by reference to the section titled “Security Ownership of Certain Beneficial Owners and Management” and “Equity Compensation Plan Information” in our Definitive Proxy Statement with respect to our 2025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herein by reference to the section titled “Certain Relationships and Related Party Transactions” and “Corporate Governance Standards and Director Independence” in our Definitive Proxy Statement with respect to our 2025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KPMG LLP, San Diego, CA, Auditor Firm ID: 185.</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herein by reference to the section titled “Ratification of Independent Registered Public Accounting Firm” in our Definitive Proxy Statement with respect to our 2025 Annual Meeting of Stockholders to be filed with the SEC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Consolidated Financial Statement Schedules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1. Consolidated Financial Statements</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 under Part II, Item 8 herein.</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2. Consolidated Financial Statement Schedules</w:t>
      </w:r>
    </w:p>
    <w:p>
      <w:pPr>
        <w:pStyle w:val="TextBody"/>
        <w:bidi w:val="0"/>
        <w:spacing w:lineRule="auto" w:line="288" w:before="120" w:after="283"/>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No consolidated financial statement schedules are provided because the information called for is not required or is shown either in the consolidated financial statements or notes thereto.</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8"/>
        <w:gridCol w:w="237"/>
        <w:gridCol w:w="238"/>
        <w:gridCol w:w="109"/>
        <w:gridCol w:w="109"/>
        <w:gridCol w:w="109"/>
        <w:gridCol w:w="1378"/>
        <w:gridCol w:w="1122"/>
        <w:gridCol w:w="1120"/>
        <w:gridCol w:w="109"/>
        <w:gridCol w:w="109"/>
        <w:gridCol w:w="109"/>
        <w:gridCol w:w="170"/>
        <w:gridCol w:w="170"/>
        <w:gridCol w:w="171"/>
        <w:gridCol w:w="109"/>
        <w:gridCol w:w="109"/>
        <w:gridCol w:w="109"/>
        <w:gridCol w:w="336"/>
        <w:gridCol w:w="252"/>
        <w:gridCol w:w="219"/>
        <w:gridCol w:w="109"/>
        <w:gridCol w:w="109"/>
        <w:gridCol w:w="109"/>
        <w:gridCol w:w="210"/>
        <w:gridCol w:w="210"/>
        <w:gridCol w:w="211"/>
        <w:gridCol w:w="109"/>
        <w:gridCol w:w="109"/>
        <w:gridCol w:w="109"/>
        <w:gridCol w:w="510"/>
        <w:gridCol w:w="292"/>
        <w:gridCol w:w="297"/>
        <w:gridCol w:w="109"/>
        <w:gridCol w:w="109"/>
        <w:gridCol w:w="109"/>
        <w:gridCol w:w="242"/>
        <w:gridCol w:w="242"/>
        <w:gridCol w:w="348"/>
      </w:tblGrid>
      <w:tr>
        <w:trPr/>
        <w:tc>
          <w:tcPr>
            <w:tcW w:w="2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Restated Bylaws,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23,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Description of the Registrant’s Securities Registered Pursuant to Section 12 of the Securities Exchange Act of 1934</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Indemnity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9,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Amended and Restated 2006 Equity Incentive Plan and forms of award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17,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80"/>
                  <w:sz w:val="20"/>
                  <w:u w:val="single"/>
                </w:rPr>
                <w:t xml:space="preserve">Amended and Restated </w:t>
              </w:r>
            </w:hyperlink>
            <w:hyperlink r:id="rId10">
              <w:r>
                <w:rPr>
                  <w:rStyle w:val="InternetLink"/>
                  <w:rFonts w:ascii="Times New Roman;sans-serif" w:hAnsi="Times New Roman;sans-serif"/>
                  <w:b w:val="false"/>
                  <w:color w:val="000080"/>
                  <w:sz w:val="20"/>
                  <w:u w:val="single"/>
                </w:rPr>
                <w:t>2017 Equity Incentive Plan</w:t>
              </w:r>
            </w:hyperlink>
            <w:hyperlink r:id="rId11">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2017 Employee Stock Purchase Plan, and forms of award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17,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Collaboration and Exclusive License Agreement, dated March 10, 2014, by and among the Registrant, TESARO, Inc. and TESARO Development, Ltd.,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333-206849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10,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Wateridge Lease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Amended and Restated Employment Agreement, effective May 8, 2023, by and between the Registrant and Eric Loumeau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Amended and Restated Employment Agreement, effective April 25, 2022, by and between Registrant and Paul Lizzul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Amendment No. 3 to the Collaboration and Exclusive License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ans-serif" w:hAnsi="Times New Roman;sans-serif"/>
                  <w:b w:val="false"/>
                  <w:color w:val="0000FF"/>
                  <w:sz w:val="20"/>
                  <w:u w:val="single"/>
                </w:rPr>
                <w:t>Confidential Settlement and Modification Agreement dated as of October 23,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First Amendment to Lease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Royalty Purchase Agreement, dated October 25, 2021, by and between the Registrant and Sagard Healthcare Royalty Partners,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Amendment No. 4 to Tesaro AnaptysBio Collaboration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Amended and Restated Employment Agreement, effective August 4, 2023, by and between the Registrant and Daniel Faga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6"/>
        <w:gridCol w:w="235"/>
        <w:gridCol w:w="236"/>
        <w:gridCol w:w="109"/>
        <w:gridCol w:w="109"/>
        <w:gridCol w:w="109"/>
        <w:gridCol w:w="1500"/>
        <w:gridCol w:w="1088"/>
        <w:gridCol w:w="1091"/>
        <w:gridCol w:w="109"/>
        <w:gridCol w:w="109"/>
        <w:gridCol w:w="109"/>
        <w:gridCol w:w="170"/>
        <w:gridCol w:w="170"/>
        <w:gridCol w:w="171"/>
        <w:gridCol w:w="109"/>
        <w:gridCol w:w="109"/>
        <w:gridCol w:w="109"/>
        <w:gridCol w:w="335"/>
        <w:gridCol w:w="248"/>
        <w:gridCol w:w="214"/>
        <w:gridCol w:w="109"/>
        <w:gridCol w:w="109"/>
        <w:gridCol w:w="109"/>
        <w:gridCol w:w="210"/>
        <w:gridCol w:w="210"/>
        <w:gridCol w:w="211"/>
        <w:gridCol w:w="109"/>
        <w:gridCol w:w="109"/>
        <w:gridCol w:w="109"/>
        <w:gridCol w:w="350"/>
        <w:gridCol w:w="350"/>
        <w:gridCol w:w="355"/>
        <w:gridCol w:w="109"/>
        <w:gridCol w:w="109"/>
        <w:gridCol w:w="109"/>
        <w:gridCol w:w="242"/>
        <w:gridCol w:w="242"/>
        <w:gridCol w:w="349"/>
      </w:tblGrid>
      <w:tr>
        <w:trPr/>
        <w:tc>
          <w:tcPr>
            <w:tcW w:w="2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Purchase and Sale Agreement, dated September 9, 2022, by and between the Registrant and DRI Healthcare Acquisitions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License Agreement, dated November 24, 2023, by and between the Registrant and Centessa Pharmaceuticals (UK)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Amendment No. 5 to Tesaro AnaptysBio Collaboration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80"/>
                  <w:sz w:val="20"/>
                  <w:u w:val="single"/>
                </w:rPr>
                <w:t>A</w:t>
              </w:r>
            </w:hyperlink>
            <w:hyperlink r:id="rId27">
              <w:r>
                <w:rPr>
                  <w:rStyle w:val="InternetLink"/>
                  <w:rFonts w:ascii="Times New Roman;sans-serif" w:hAnsi="Times New Roman;sans-serif"/>
                  <w:b w:val="false"/>
                  <w:color w:val="000080"/>
                  <w:sz w:val="20"/>
                  <w:u w:val="single"/>
                </w:rPr>
                <w:t>mendment No. 1 to License Agreement, dated April 9, 2024, by and between the Registrant and Centessa Pharmaceuticals (UK) L</w:t>
              </w:r>
            </w:hyperlink>
            <w:hyperlink r:id="rId28">
              <w:r>
                <w:rPr>
                  <w:rStyle w:val="InternetLink"/>
                  <w:rFonts w:ascii="Times New Roman;sans-serif" w:hAnsi="Times New Roman;sans-serif"/>
                  <w:b w:val="false"/>
                  <w:color w:val="000080"/>
                  <w:sz w:val="20"/>
                  <w:u w:val="single"/>
                </w:rPr>
                <w:t>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80"/>
                  <w:sz w:val="20"/>
                  <w:u w:val="single"/>
                </w:rPr>
                <w:t>A</w:t>
              </w:r>
            </w:hyperlink>
            <w:hyperlink r:id="rId30">
              <w:r>
                <w:rPr>
                  <w:rStyle w:val="InternetLink"/>
                  <w:rFonts w:ascii="Times New Roman;sans-serif" w:hAnsi="Times New Roman;sans-serif"/>
                  <w:b w:val="false"/>
                  <w:color w:val="000080"/>
                  <w:sz w:val="20"/>
                  <w:u w:val="single"/>
                </w:rPr>
                <w:t>greement and Amendment No. 1 to the Royalty P</w:t>
              </w:r>
            </w:hyperlink>
            <w:hyperlink r:id="rId31">
              <w:r>
                <w:rPr>
                  <w:rStyle w:val="InternetLink"/>
                  <w:rFonts w:ascii="Times New Roman;sans-serif" w:hAnsi="Times New Roman;sans-serif"/>
                  <w:b w:val="false"/>
                  <w:color w:val="000080"/>
                  <w:sz w:val="20"/>
                  <w:u w:val="single"/>
                </w:rPr>
                <w:t>urchase Agr</w:t>
              </w:r>
            </w:hyperlink>
            <w:hyperlink r:id="rId32">
              <w:r>
                <w:rPr>
                  <w:rStyle w:val="InternetLink"/>
                  <w:rFonts w:ascii="Times New Roman;sans-serif" w:hAnsi="Times New Roman;sans-serif"/>
                  <w:b w:val="false"/>
                  <w:color w:val="000080"/>
                  <w:sz w:val="20"/>
                  <w:u w:val="single"/>
                </w:rPr>
                <w:t>eement, dated May 8, 2024 by and between the Registrant and Sagard Healthcare Partners Funding Borrower SPE</w:t>
              </w:r>
            </w:hyperlink>
            <w:hyperlink r:id="rId33">
              <w:r>
                <w:rPr>
                  <w:rStyle w:val="InternetLink"/>
                  <w:rFonts w:ascii="Times New Roman;sans-serif" w:hAnsi="Times New Roman;sans-serif"/>
                  <w:b w:val="false"/>
                  <w:color w:val="000080"/>
                  <w:sz w:val="20"/>
                  <w:u w:val="single"/>
                </w:rPr>
                <w:t xml:space="preserve"> </w:t>
              </w:r>
            </w:hyperlink>
            <w:hyperlink r:id="rId34">
              <w:r>
                <w:rPr>
                  <w:rStyle w:val="InternetLink"/>
                  <w:rFonts w:ascii="Times New Roman;sans-serif" w:hAnsi="Times New Roman;sans-serif"/>
                  <w:b w:val="false"/>
                  <w:color w:val="000080"/>
                  <w:sz w:val="20"/>
                  <w:u w:val="single"/>
                </w:rPr>
                <w:t>2,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80"/>
                  <w:sz w:val="20"/>
                  <w:u w:val="single"/>
                </w:rPr>
                <w:t>S</w:t>
              </w:r>
            </w:hyperlink>
            <w:hyperlink r:id="rId36">
              <w:r>
                <w:rPr>
                  <w:rStyle w:val="InternetLink"/>
                  <w:rFonts w:ascii="Times New Roman;sans-serif" w:hAnsi="Times New Roman;sans-serif"/>
                  <w:b w:val="false"/>
                  <w:color w:val="000080"/>
                  <w:sz w:val="20"/>
                  <w:u w:val="single"/>
                </w:rPr>
                <w:t>ales Agreement</w:t>
              </w:r>
            </w:hyperlink>
            <w:hyperlink r:id="rId37">
              <w:r>
                <w:rPr>
                  <w:rStyle w:val="InternetLink"/>
                  <w:rFonts w:ascii="Times New Roman;sans-serif" w:hAnsi="Times New Roman;sans-serif"/>
                  <w:b w:val="false"/>
                  <w:color w:val="000080"/>
                  <w:sz w:val="20"/>
                  <w:u w:val="single"/>
                </w:rPr>
                <w:t>, dated November 5, 2024, by and between the Registrant and TD Securities (USA)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333-283001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ulroyamendedandrestated.htm">
              <w:r>
                <w:rPr>
                  <w:rStyle w:val="InternetLink"/>
                  <w:rFonts w:ascii="Times New Roman;sans-serif" w:hAnsi="Times New Roman;sans-serif"/>
                  <w:b w:val="false"/>
                  <w:color w:val="000080"/>
                  <w:sz w:val="20"/>
                  <w:u w:val="single"/>
                </w:rPr>
                <w:t>Amended and Restated Employment Agreement, effective April 2</w:t>
              </w:r>
            </w:hyperlink>
            <w:hyperlink w:anchor="mulroyamendedandrestated.htm">
              <w:r>
                <w:rPr>
                  <w:rStyle w:val="InternetLink"/>
                  <w:rFonts w:ascii="Times New Roman;sans-serif" w:hAnsi="Times New Roman;sans-serif"/>
                  <w:b w:val="false"/>
                  <w:color w:val="000080"/>
                  <w:sz w:val="20"/>
                  <w:u w:val="single"/>
                </w:rPr>
                <w:t>5</w:t>
              </w:r>
            </w:hyperlink>
            <w:hyperlink w:anchor="mulroyamendedandrestated.htm">
              <w:r>
                <w:rPr>
                  <w:rStyle w:val="InternetLink"/>
                  <w:rFonts w:ascii="Times New Roman;sans-serif" w:hAnsi="Times New Roman;sans-serif"/>
                  <w:b w:val="false"/>
                  <w:color w:val="000080"/>
                  <w:sz w:val="20"/>
                  <w:u w:val="single"/>
                </w:rPr>
                <w:t>, 2022, by and between the Registrant and Dennis Mulroy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ptysbioinsidertradingpo.htm">
              <w:r>
                <w:rPr>
                  <w:rStyle w:val="InternetLink"/>
                  <w:rFonts w:ascii="Times New Roman;sans-serif" w:hAnsi="Times New Roman;sans-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b-12312024xexx211.htm">
              <w:r>
                <w:rPr>
                  <w:rStyle w:val="InternetLink"/>
                  <w:rFonts w:ascii="Times New Roman;sans-serif" w:hAnsi="Times New Roman;sans-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b-12312024xexx231.htm">
              <w:r>
                <w:rPr>
                  <w:rStyle w:val="InternetLink"/>
                  <w:rFonts w:ascii="Times New Roman;sans-serif" w:hAnsi="Times New Roman;sans-serif"/>
                  <w:b w:val="false"/>
                  <w:color w:val="0000FF"/>
                  <w:sz w:val="20"/>
                  <w:u w:val="single"/>
                </w:rPr>
                <w:t>Consent of KPMG LLP, an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f4505193ff46b49976cb0a60e09b7d_187">
              <w:r>
                <w:rPr>
                  <w:rStyle w:val="InternetLink"/>
                  <w:rFonts w:ascii="Times New Roman;sans-serif" w:hAnsi="Times New Roman;sans-serif"/>
                  <w:b w:val="false"/>
                  <w:color w:val="0000FF"/>
                  <w:sz w:val="20"/>
                  <w:u w:val="single"/>
                </w:rPr>
                <w:t>Power of Attorney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b-12312024x10kxexx311.htm">
              <w:r>
                <w:rPr>
                  <w:rStyle w:val="InternetLink"/>
                  <w:rFonts w:ascii="Times New Roman;sans-serif" w:hAnsi="Times New Roman;sans-serif"/>
                  <w:b w:val="false"/>
                  <w:color w:val="0000FF"/>
                  <w:sz w:val="20"/>
                  <w:u w:val="single"/>
                </w:rPr>
                <w:t>Certification of Principal Executive Officer, pursuant to Rule 13a-14(a)/15d-14(a), as adopted pursuant to Section 302 of the Sarbanes-Oxley Act of 2002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b-12312024x10kxexx312.htm">
              <w:r>
                <w:rPr>
                  <w:rStyle w:val="InternetLink"/>
                  <w:rFonts w:ascii="Times New Roman;sans-serif" w:hAnsi="Times New Roman;sans-serif"/>
                  <w:b w:val="false"/>
                  <w:color w:val="0000FF"/>
                  <w:sz w:val="20"/>
                  <w:u w:val="single"/>
                </w:rPr>
                <w:t>Certification of Principal Financial Officer, pursuant to Rule 13a-14(a)/15d-14(a), as adopted pursuant to Section 302 of the Sarbanes-Oxley Act of 2002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b-12312024x10kxex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b-12312024x10kxex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Compensation Recovery Policy</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001-37985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XBRL Report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9"/>
        <w:gridCol w:w="237"/>
        <w:gridCol w:w="239"/>
        <w:gridCol w:w="109"/>
        <w:gridCol w:w="109"/>
        <w:gridCol w:w="109"/>
        <w:gridCol w:w="1500"/>
        <w:gridCol w:w="1479"/>
        <w:gridCol w:w="1484"/>
        <w:gridCol w:w="109"/>
        <w:gridCol w:w="109"/>
        <w:gridCol w:w="109"/>
        <w:gridCol w:w="170"/>
        <w:gridCol w:w="170"/>
        <w:gridCol w:w="171"/>
        <w:gridCol w:w="109"/>
        <w:gridCol w:w="109"/>
        <w:gridCol w:w="109"/>
        <w:gridCol w:w="178"/>
        <w:gridCol w:w="178"/>
        <w:gridCol w:w="180"/>
        <w:gridCol w:w="109"/>
        <w:gridCol w:w="109"/>
        <w:gridCol w:w="109"/>
        <w:gridCol w:w="210"/>
        <w:gridCol w:w="210"/>
        <w:gridCol w:w="211"/>
        <w:gridCol w:w="109"/>
        <w:gridCol w:w="109"/>
        <w:gridCol w:w="109"/>
        <w:gridCol w:w="175"/>
        <w:gridCol w:w="175"/>
        <w:gridCol w:w="176"/>
        <w:gridCol w:w="109"/>
        <w:gridCol w:w="109"/>
        <w:gridCol w:w="109"/>
        <w:gridCol w:w="242"/>
        <w:gridCol w:w="242"/>
        <w:gridCol w:w="347"/>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Executive compensation plan or agreement.</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Registrant has omitted and filed separately with the SEC portions of the exhibit pursuant to a confidential treatment request under Rule 406 promulgated under the Securities Act.</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Certain portions of this exhibit have been omitted by means of marking such portions with asterisks because the Registrant has determined that the information is not material and is the type that the Registrant treats as private or confidential.</w:t>
      </w:r>
    </w:p>
    <w:p>
      <w:pPr>
        <w:pStyle w:val="TextBody"/>
        <w:bidi w:val="0"/>
        <w:spacing w:lineRule="auto" w:line="268" w:before="0" w:after="0"/>
        <w:ind w:left="0" w:right="0" w:hanging="720"/>
        <w:jc w:val="left"/>
        <w:rPr>
          <w:color w:val="000000"/>
        </w:rPr>
      </w:pPr>
      <w:r>
        <w:rPr>
          <w:color w:val="000000"/>
        </w:rPr>
        <w:t>‡    </w:t>
      </w:r>
      <w:r>
        <w:rPr>
          <w:rFonts w:ascii="Times New Roman;sans-serif" w:hAnsi="Times New Roman;sans-serif"/>
          <w:b w:val="false"/>
          <w:color w:val="000000"/>
          <w:sz w:val="20"/>
        </w:rPr>
        <w:t>Exhibits and schedules to this agreement have been omitted pursuant to the rules of the SEC. The Registrant will submit copies of such exhibits and schedules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sans-serif" w:hAnsi="Times New Roman;sans-serif"/>
          <w:b/>
          <w:color w:val="000000"/>
          <w:sz w:val="24"/>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27, 2025 </w:t>
      </w:r>
    </w:p>
    <w:tbl>
      <w:tblPr>
        <w:tblW w:w="4553" w:type="dxa"/>
        <w:jc w:val="left"/>
        <w:tblInd w:w="0" w:type="dxa"/>
        <w:tblLayout w:type="fixed"/>
        <w:tblCellMar>
          <w:top w:w="28" w:type="dxa"/>
          <w:left w:w="28" w:type="dxa"/>
          <w:bottom w:w="28" w:type="dxa"/>
          <w:right w:w="28" w:type="dxa"/>
        </w:tblCellMar>
      </w:tblPr>
      <w:tblGrid>
        <w:gridCol w:w="124"/>
        <w:gridCol w:w="109"/>
        <w:gridCol w:w="109"/>
        <w:gridCol w:w="162"/>
        <w:gridCol w:w="162"/>
        <w:gridCol w:w="162"/>
        <w:gridCol w:w="162"/>
        <w:gridCol w:w="162"/>
        <w:gridCol w:w="162"/>
        <w:gridCol w:w="926"/>
        <w:gridCol w:w="926"/>
        <w:gridCol w:w="13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AnaptysBio,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person whose individual signature appears below hereby authorizes and appoints Daniel Faga and Eric Loumeau,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lineRule="auto" w:line="288" w:before="0" w:after="0"/>
        <w:jc w:val="left"/>
        <w:rPr>
          <w:color w:val="000000"/>
        </w:rPr>
      </w:pPr>
      <w:r>
        <w:rPr>
          <w:color w:val="000000"/>
        </w:rPr>
        <w:t> </w:t>
      </w:r>
    </w:p>
    <w:tbl>
      <w:tblPr>
        <w:tblW w:w="8213"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314"/>
        <w:gridCol w:w="1314"/>
        <w:gridCol w:w="1331"/>
        <w:gridCol w:w="109"/>
        <w:gridCol w:w="109"/>
        <w:gridCol w:w="109"/>
        <w:gridCol w:w="477"/>
        <w:gridCol w:w="477"/>
        <w:gridCol w:w="681"/>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Chief Executive Officer and Director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and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Dennis Fenton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Dennis Fenton, Ph.D.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Rita Jain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Rita Jain,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Magda Marquet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Magda Marquet,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Oleg Nodelman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Oleg Nodelman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/s/John Orwin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Orwin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Hollings Renton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Hollings Renton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Schmid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Schmid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 Anthony 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 Anthony Ware,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0" w:name="mulroyamendedandrestated.htm"/>
      <w:bookmarkStart w:id="1" w:name="ksmulroyamendedandrestated"/>
      <w:bookmarkEnd w:id="0"/>
      <w:bookmarkEnd w:id="1"/>
      <w:r>
        <w:rPr/>
        <w:drawing>
          <wp:inline distT="0" distB="0" distL="0" distR="0">
            <wp:extent cx="10048875" cy="13001625"/>
            <wp:effectExtent l="0" t="0" r="0" b="0"/>
            <wp:docPr id="10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2"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jc w:val="center"/>
        <w:rPr>
          <w:color w:val="FFFFFF"/>
          <w:sz w:val="2"/>
        </w:rPr>
      </w:pPr>
      <w:r>
        <w:rPr>
          <w:color w:val="FFFFFF"/>
          <w:sz w:val="2"/>
        </w:rPr>
        <w:t xml:space="preserve">ANAPTYSBIO, INC. AMENDED AND RESTATED EMPLOYMENT AGREEMENT This AMENDED AND RESTATED EMPLOYMENT AGREEMENT (this “Agreement”) is made effective from April 25, 2022 (the “Effective Date”) by and among ANAPTYSBIO, INC. (the “Company”) and Dennis Mulroy (“CFO”). The Company and CFO are hereinafter collectively referred to as the “Parties,” and individually referred to as a “Party.” This Agreement amends and restates in its entirety that certain Employment Agreement between CFO and the Company dated July 13, 2020 (the “Prior Agreement”). RECITAL The Company desires to employ CFO, and CFO is willing to accept such employment by Company, on the terms and subject to the conditions set forth in this Agreement. AGREEMENT In consideration of the foregoing Recitals and the mutual promises and covenants herein contained, and for other good and valuable consideration, the Parties, intending to be legally bound, agree as follows: 1. EMPLOYMENT. 1.1 Title. Effective as of the Effective Date, CFO’s position shall be Chief Financial Officer of the Company, subject to the terms and conditions set forth in this Agreement. 1.2 Term. The term of this Agreement shall begin on the Effective Date and shall continue until it is terminated pursuant to Section 4 herein (the “Term”). 1.3 Duties. CFO shall do and perform all services, acts or things necessary or advisable to manage and conduct the business of the Company and that are normally associated with the position of Chief Financial Officer of the Company. CFO shall report to the Chief Executive Officer. 1.4 Policies and Practices. The employment relationship between the Parties shall be governed by this Agreement and by the policies and practices established by the Company and/or the Company’s Board of Directors (the “Board”), or any designated committee thereof. In the event that the terms of this Agreement differ from or are in conflict with the Company’s policies or practices or the Company’s Employee Handbook, this Agreement shall control. 1.5 Location. Unless the Parties otherwise agree in writing, and except as provided in this Section 1.5, during the Term CFO shall perform the services CFO is required to perform pursuant to this Agreement at the Company’s offices in San Diego, California; provided, however, that the Company may from time to time require CFO to travel temporarily to other locations in connection with the Company’s business; provided, further, upon the Effective Date, and until applicable government COVID- 19 quarantine restrictions applicable to the San Diego office are lifted and the San Diego office reopens, the Company will allow CFO to perform the services remotely from CFO’s home. 2. LOYALTY; NONCOMPETITION; NONSOLICITATION. 2.1 Loyalty. During CFO’s employment with the Company, CFO shall devote CFO’s full business energies, interest, abilities and productive time to the proper and efficient performance of CFO’s duties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2.2 Agreement not to Participate in Company’s Competitors. During CFO’s employment with the Company, CFO agrees not to acquire, assume or participate in, directly or indirectly, any position, investment or interest known by CFO to be adverse or antagonistic to the Company, its business, or prospects, financial or otherwise, or in any company, person, or entity that is, directly or indirectly, in competition with the business of the Company or any of its Affiliates (as defined below). Ownership by CFO, in professionally managed funds over which CFO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“Affiliate,” means, with respect to any specific entity, any other entity that, directly or indirectly, through one or more intermediaries, controls, is controlled by or is under common control with such specified entity. 2.3 Covenant not to Compete. During CFO’s employment with the Company, CFO shall not engage in competition with the Company and/or any of its Affiliates in any manner or capacity, as adviser, principal, agent, Affiliate, promoter, partner, officer, director, employee, owner, co-owner, consultant, in any phase of the business of developing, manufacturing and marketing of products or services that directly compete with the products or services of the Company, except with the prior written consent of the CEO. CFO shall be entitled to request written consent of the CEO with respect to potential advisory and/or director opportunities presented to CFO by a third party, which CFO believes in good faith will not interfere or compete with the on-going business of the Company. 3. COMPENSATION OF CFO. 3.1 Base Salary. The Company shall pay CFO a base salary at the annualized rate of $400,000 (the “Base Salary”), less payroll deductions and all required withholdings, payable in regular periodic installments in accordance with the Company’s normal payroll practices. The Base Salary shall be prorated for any partial year of employment on the basis of a 365-day fiscal year. 3.2 Discretionary Bonus. At the sole discretion of the Board and the Chief Executive Officer, promptly following each calendar year of employment CFO shall be eligible to receive a discretionary cash bonus of up to 40% of CFO’s then-current base salary (the “Bonus”), based on CFO’s achievement relative to certain performance goals (“Performance Goals”) to be established by the Chief Executive Officer and/or the Board or the Compensation Committee of the Board (the “Committee”) in writing in a manner reasonably consistent with the Company’s priorities. The determination of whether CFO has met the Performance Goals for any given year, and if so, the amount of any Bonus that will be paid for such year (if any), shall be determined by the Board or the Committee and Chief Executive Officer in their sole and absolute discretion. In order to be eligible to earn or receive any Bonus, CFO must remain employed by the Company through and including the date of payment of such Bonus. For the first calendar year of CFO’s employment with the Company, the Bonus payable shall be pro-rated in accordance with the percentage of the calendar year that the CFO is an employee of the Company. 3.3 Stock Option. As soon as practicable following the Effective Date, subject to the approval of the Board or the Committee, CFO will be granted an option to purchase up to 90,600 shares of the Company’s Common Stock (the “Base Option”) pursuant to the terms of the Company’s 2017 Equity Incentive Plan, as amended from time to time (the “Plan”). The Base Option shall be subject to vesting such that, subject to CFO’s continued employment with the Company, 1/4 of the shares subject to the Base Option shall vest as of the first anniversary of the Effective Date and l/48th of the shares subject to the Base Option shall vest in equal monthly installments on the monthly anniversary of the Effective Date of each month for the 36 months thereafter. The exercise price per share of the Base Option will be equal to the closing selling price as reported on the Nasdaq Stock Market on the date the Base Option is granted.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Base Option will be governed by the Plan and shall be granted pursuant to a separate stock option grant notice and stock option agreement. 3.4 Expense Reimbursements. The Company will reimburse CFO for all reasonable business expenses CFO incurs in conducting his duties hereunder, pursuant to the Company’s usual expense reimbursement policies; provided that CFO supplies the appropriate substantiation for such expenses no later than the end of the calendar month following the month in which such expenses were incurred by CFO. 3.5 Changes to Compensation. CFO’s compensation will be reviewed annually and may be changed from time to time in the Company’s sole discretion. 3.6 Employment Taxes. All of CFO’s compensation shall be subject to customary withholding taxes and any other employment taxes as are commonly required to be collected or withheld by the Company, as determined by the Company. 3.7 Benefits. CFO shall, in accordance with Company policy and the terms of the applicable plan documents, be eligible to participate in benefits under any benefit plan or arrangement that may be in effect from time to time and made available to the Company’s senior management employees. 3.8 Holidays and Vacation. CFO shall be eligible for paid holiday and vacation time in accordance with Company policy as in effect from time to time. 4. TERMINATION. 4.1 Termination by the Company. CFO’s employment with the Company is at will and may be terminated by the Company at any time and for any reason, or for no reason, including, but not limited to, under the following conditions: 4.1.1 Termination by the Company for Cause. The Company may terminate CFO’s employment under this Agreement for Cause (as defined below) by delivery of written notice to CFO. Any notice of termination given pursuant to this section shall effect termination as of the date of the notice, or as of such other date specified in the notice. 4.1.2 Termination by the Company without Cause. The Company may terminate CFO’s employment under this Agreement without Cause at any time and for any reason, or for no reason. Such termination shall be effective on the date CFO is so informed, or as otherwise specified by the Company. 4.2 Termination by CFO. CFO may terminate his employment with the Company at any time and for any reason, or for no reason, upon thirty (30) days written notice to the Company. 4.3 Termination for Death or Disability. CFO’s employment with the Company shall automatically terminate effective upon the date of CFO’s death or Disability (as defined in the Plan). 4.4 Termination by Mutual Agreement of the Parties. CFO’s employment with the Company may be terminated at any time upon a mutual agreement in writing of the Parties. Any such termination of employment shall have the consequences specified in such agreement. 4.5 Compensation upon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4.5.1 Death or Disability. If CFO’s employment is terminated by death or Disability, the Company shall pay to CFO, or to CFO’s heirs, CFO’s accrued and unpaid base salary and accrued and unused vacation benefits earned through the date of termination at the rate in effect at the time of termination, less standard deductions and withholdings. The Company shall thereafter have no further obligations to CFO and/or CFO’s heirs under this Agreement, except as otherwise provided by law. 4.5.2 Termination for Cause. If the Company terminates CFO’s employment for Cause, then the Company shall pay CFO’s accrued and unpaid base salary and accrued and unused vacation benefits earned through the date of termination, at the rate in effect at the time of termination, less standard deductions and withholdings. The Company shall thereafter have no further obligations to CFO under this Agreement, except as otherwise provided by law. 4.5.3 Termination by Company without Cause or by CFO for Good Reason Not In Connection with a Change in Control. If the Company terminates CFO’s employment without Cause or if CFO resigns his employment for Good Reason (as defined below), in either case at any time other than upon the occurrence of, or within the 13 months immediately following, the effective date of a Change in Control, the Company shall pay CFO’s accrued and unpaid base salary and accrued and unused vacation benefits earned through the date of termination, at the rate in effect at the time of termination, less standard deductions and withholdings. In addition to the above, if CFO furnishes to the Company an executed waiver and release of claims in the form attached hereto as Exhibit A (or in such other form as may be specified by the Company) (the “Release”) within the time period specified therein, but in no event later than 45 days following CFO’s termination, and if CFO allows such Release to become effective in accordance with its terms, then (i) CFO shall be entitled to severance in the form of continuation of his base salary, at the base salary rate equal to the greater of the rate in effect at the time of termination or the rate immediately prior to the event giving rise to Good Reason (the “Severance Payments”), for a period of nine (9) months following the termination date (the “Severance Period”), and (ii) if CFO timely elects COBRA coverage, the Company will pay directly to the insurance provider the premium for COBRA continuation coverage for CFO and CFO’s family during the Severance Period or until he obtains new employment, whichever comes first (the “COBRA Coverage”); provided that, if the Company determines that it cannot provide the COBRA Coverage without potentially violating applicable law or incurring additional expense under applicable law (including, without limitation, Section 2716 of the Public Health Service Act), the Company will provide CFO, in lieu thereof, taxable, continued installment payments equal to the COBRA premium, payable on the last day of a given month, for 9 months (measured from the termination date), which payments will be made regardless of whether CFO elects COBRA continuation coverage (the “COBRA Bonus”). Notwithstanding the foregoing, the number of months of COBRA Bonus to be paid, in any case, shall be reduced by the number of months of COBRA Coverage previously paid by the Company.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provided, further, that if the 45 day period to execute the Release spans two calendar years, no Severance Payments will be made until the later calendar year. The Company shall thereafter have no further obligations to CFO under this Agreement, except as otherwise provided by law. 4.5.4 Termination by Company without Cause or by CFO for Good Reason in Connection with a Change in Control. If the Company terminates CFO’s employment without Cause or if CFO resigns his employment for Good Reason, in either case upon the occurrence of, or within the 13 months immediately following, the effective date of a Change in Control, the Company shall pay CFO’s accrued and unpaid base salary and accrued and unused vacation benefits earned through the date of termination, at the rate in effect at the time of termination, less standard deductions and withholdings. In addition, if CFO furnishes to the Company an executed Release within the time period specified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but in no event later than 45 days following CFO’s termination, and if CFO allows such Release to become effective in accordance with its terms, then CFO shall be entitled to: (1) the Severance Payments and COBRA payments described in Section 4.5.3 above; provided, however, that the Severance Payments and COBRA payments shall be increased from 9 months to 12 months, (2) a lump-sum cash amount equal to the Bonus plus an amount equal to the product of (A) the Bonus, calculated based upon actual achievement of Performance Goals as determined by the Board, multiplied by (B) the quotient of (i) the number of days elapsed in such fiscal year through the effective date of Executive’s termination divided by (ii) 365, and (3) accelerated vesting of all of CFO’s unvested Company equity awards, such that CFO shall become vested in 100% of the shares subject to all such equity awards on the effective date of the Release; provided, however, that the vesting of any performance-based awards shall be as if all applicable performance criteria were achieved at target levels. The Company shall thereafter have no further obligations to CFO under this Agreement, except as otherwise provided by law. 4.6 Definitions. For purposes of this Agreement, the following terms shall have the following meanings: 4.6.1 “Cause” shall mean the occurrence of any one or more of the following: (i) CFO’s commission of any crime involving fraud, dishonesty or moral turpitude; (ii) CFO’s attempted commission of or participation in a fraud or act of dishonesty against the Company that results in (or might have reasonably resulted in) material harm to the business of the Company; (iii) CFO’s intentional, material violation of any contract or agreement between CFO and the Company or any statutory duty CFO owes to the Company; or (iv) CFO’s conduct that constitutes gross insubordination, incompetence or habitual neglect of duties and that results in (or might have reasonably resulted in) material harm to the business of the Company; provided, however, that the action or conduct described in clauses (iii) and (iv) above will constitute “Cause” only if such action or conduct continues after the Company has provided CFO with written notice thereof and thirty (30) days to cure, or otherwise remedy to the extent possible under direct control of the CFO, the same. An occurrence of “Cause” as set forth in the preceding sentence shall be based upon a good faith determination by the Board. CFO’s Disability shall not constitute Cause as set forth herein. The determination that a termination is for Cause shall be by the Board in its sole and exclusive judgment and discretion. 4.6.2 “Change in Control” shall have the meaning set forth in the Amended and Restated 2006 Equity Incentive Plan. 4.6.3 “Good Reason” shall mean any of the following actions: (i) the assignment to CFO of any duties or responsibilities that results in a material diminution in CFO’s function as in effect immediately prior to the effective date of the Change in Control; provided, however, that it will be considered a material diminution in CFO’s function if, following a Change in Control, the CFO is not reporting directly to the Chief Executive Officer who is in turn reporting to the Company’s (or if applicable ultimate parent entity’s) corporate board of directors; (ii) a reduction by the Company in CFO’s annual base salary as in effect on the effective date of the Change in Control; provided, however, that Good Reason shall not be deemed to have occurred in the event of a reduction in CFO’s annual base salary that is pursuant to a salary reduction program affecting substantially all of the employees of the Company and that does not adversely affect CFO to a greater extent than other similarly situated employees; or (iii) a relocation of CFO’s primary business office to a location more than 50 miles from the location of CFO’s primary business office as of the effective date of the Change in Control, except for required travel by CFO on the Company’s business to an extent substantially consistent with CFO’s business travel obligations prior to the effective date of the Change in Control. For the purposes of application of this definition of Good Reason to Section 4.5.3, the words “as in effect immediately prior to the effective date of the Change in Control” shall be read to mean as of, or immediately prior to, the date of the event giving rise to Good Reason. In all events, in order for a termination for Good Reason to occur, the CFO must provide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Company with written notice of the condition constituting Good Reason within 90 days of the initial occurrence of such condition, and allow the Company a 30-day cure period in which to cure such condition, and the CFO must resign employment within 10 days of the end of such 30-day cure period if the Company does not cure the condition in such cure period. For clarity, “corporate board of directors” as used in the definition of Good Reason means the Company’s (or if applicable ultimate parent entity’s) board of directors as such term is used in Section 141 of the Delaware General Corporation Law, or if the Company (or if applicable ultimate parent entity) is not a corporation organized under Delaware law, the most senior governing body of the Company (or if applicable ultimate parent entity) the majority of which is comprised of non-employee and independent members and has responsibility and authority for managing the business and affairs of the Company (or if applicable ultimate parent entity). 4.7 Survival of Certain Sections. Sections 3.4, 3.6 and 4 through 18 of this Agreement will survive the termination of this Agreement. 4.8 Parachute Payment. If any payment or benefit CFO would receive pursuant to this Agreement (“Payment”) would (i) constitute a “Parachute Payment” within the meaning of Section 280G of the Internal Revenue Code of 1986, as amended (the “Code”), and (ii) but for this sentence, be subject to the excise tax imposed by Section 4999 of the Code (the “Excise Tax”),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CFO’s receipt, on an after-tax basis, of the greatest economic benefit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CFO. If more than one method of reduction will result in the same economic benefit, the items so reduced will be reduced pro rata. In the event it is subsequently determined by the Internal Revenue Service that some portion of the Reduced Amount (as determined pursuant to clause (x) in the preceding paragraph) is subject to the Excise Tax, CFO agrees to promptly return to the Company a sufficient amount of the Payment so that no portion of the Reduced Amount is subject to the Excise Tax. For the avoidance of doubt, if the Reduced Amount is determined in accordance with clause (y) in the preceding paragraph, CFO will have no obligation to return any portion of the Payment pursuant to the preceding sentence. Unless CFO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 The Company shall use commercially reasonable efforts such that the accounting, law or consulting firm engaged to make the determinations hereunder shall provide its calculations, together with detailed supporting documentation, to CFO and the Company within 15 calendar days after the date on which CFO’s right to a Payment is triggered (if requested at that time by CFO or the Company) or such other time as requested by CFO or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4.9 Application of Internal Revenue Code Section 409A. Notwithstanding anything to the contrary set forth herein, any payments and benefits provided under this Agreement (the “Severance Benefits”) that constitute “deferred compensation” within the meaning of Section 409A of the Code and the regulations and other guidance thereunder and any state law of similar effect (collectively “Section 409A”) shall not commence in connection with CFO’s termination of employment unless and until CFO has also incurred a “separation from service” (as such term is defined in Treasury Regulation Section 1.409A-1(h)) (“Separation From Service”), unless the Company reasonably determines that such amounts may be provided to CFO without causing CFO to incur the additional 20% tax under Section 409A. 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 Regulation Sections 1.409A-1(b)(4), 1.409A-1(b)(5) and 1.409A-1(b)(9). However, if the Company (or, if applicable, the successor entity thereto) determines that the Severance Benefits constitute “deferred compensation” under Section 409A and CFO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CFO’s Separation From Service, or (ii) the date of CFO’s death (such applicable date, the “Specified Employee Initial Payment Date”), the Company (or the successor entity thereto, as applicable) shall (A) pay to CFO a lump sum amount equal to the sum of the Severance Benefit payments that CFO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 Notwithstanding anything to the contrary set forth herein, CFO shall receive the Severance Benefits described above, if and only if CFO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CFO the Severance Benefits that CFO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 5. CONFIDENTIAL AND PROPRIETARY INFORMATION. CFO has already executed, as a condition of CFO’s employment with the Company, the Company’s standard form of Proprietary Information and Inventions Agreement (the “PIIA”). The PIIA remains in full force and effect. 6. ASSIGNMENT AND BINDING EFFECT. This Agreement shall be binding upon and inure to the benefit of CFO and CFO’s heirs, executors, personal representatives, assigns, administrators and legal representatives. Because of the unique and personal nature of CFO’s duties under this Agreement, neither this Agreement nor any rights or obligations under this Agreement shall be assignable by CFO. This Agreement shall be binding upon and inure to the benefit of the Company and its successors, assigns and legal representatives. Any such successor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7. NOTICES. All notices or demands of any kind required or permitted to be given by the Company or CFO under this Agreement shall be given in writing and shall be personally delivered (and receipted for) or faxed during normal business hours or mailed by certified mail, return receipt requested, postage prepaid, addressed as follows: If to the Company: 10770 Wateridge Circle, Suite 210 San Diego, CA 92121 Attention: Chief Executive Officer If to CFO: Dennis Mulroy 4370 Mensha Place San Diego, CA 92130 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 8. CHOICE OF LAW. This Agreement shall be construed and interpreted in accordance with the internal laws of the State of California without regard to its conflict of laws principles. 9. INTEGRATION. This Agreement, including Exhibit A and the PIIA, contains the complete, final and exclusive agreement of the Parties relating to the terms and conditions of CFO’s employment and the termination of CFO’s employment, and supersedes any and all prior and/or contemporaneous oral and written employment agreements or arrangements between the Parties, including the Prior Agreement, which is hereby terminated. By signing below, CFO acknowledges that he has been paid all compensation and benefits owed to him by the Company and that the Company has fully performed all of its obligations under the Prior Agreement. 10. AMENDMENT. This Agreement cannot be amended or modified except by a written agreement signed by CFO and the Company. 11. WAIVER.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 12. SEVERABILITY. 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 13. INTERPRETATION; CONSTRUCTION. The headings set forth in this Agreement are for convenience of reference only and shall not be used in interpreting this Agreement. This Agreement has been drafted by legal counsel representing the Company, but CFO has been encouraged to consult with, and has consulted with, CFO’s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 14. REPRESENTATIONS AND WARRANTIES. CFO represents and warrants that CFO is not restricted or prohibited, contractually or otherwise, from entering into and performing each of the terms and covenants contained in this Agreement, and that CFO’s execution and performance of this Agreement will not violate or breach any other agreements between CFO and any other person or entity. 15. COUNTERPARTS. This Agreement may be executed in two counterparts, each of which shall be deemed an original, all of which together shall contribute one and the same instrument. 16. ARBITRATION. To ensure the rapid and economical resolution of disputes that may arise in connection with CFO’s employment with the Company, CFO and the Company agree that any and all disputes, claims, or causes of action, in law or equity, arising from or relating to CFO’s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(“JAMS”),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CFO and the Company hereby waive any right to a jury trial. Both CFO and the Company shall be entitled to all rights and remedies that either CFO or the Company would be entitled to pursue in a court of law. The Company shall pay any JAMS filing fee and shall pay the arbitrator’s fee. Nothing in this Agreement is intended to prevent either CFO or the Company from obtaining injunctive relief in court to prevent irreparable harm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pending the conclusion of any such arbitration. Notwithstanding the foregoing, CFO and the Company each have the right to resolve any issue or dispute involving confidential, proprietary or trade secret information, or intellectual property rights, by Court action instead of arbitration. 17. TRADE SECRETS OF OTHERS. It is the understanding of both the Company and CFO that CFO shall not divulge to the Company and/or its subsidiaries any confidential information or trade secrets belonging to others, including CFO’s former employers, nor shall the Company and/or its Affiliates seek to elicit from CFO any such information. Consistent with the foregoing, CFO shall not provide to the Company and/or its Affiliates, and the Company and/or its Affiliates shall not request, any documents or copies of documents containing such information. 18. ADVERTISING WAIVER. CFO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CFO’s name and/or pictures of CFO taken in the course of CFO’s provision of services to the Company appear. CFO hereby waives and releases any claim or right CFO may otherwise have arising out of such use, publication or distribution. [REMAINDER OF THIS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2"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EMPLOYMENT AGREEMENT] IN WITNESS WHEREOF, the Parties have executed the Agreement as of the date below. ANAPTYSBIO, INC. By: /s/Dan Faga Name: Dan Faga Title: Interim President &amp; CEO Dated: April 29, 2022 CFO: /s/Dennis Mulroy DENNIS MULROY Dated: April 29,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3"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RELEASE AND WAIVER OF CLAIMS TO BE SIGNED ON OR FOLLOWING THE SEPARATION DATE ONLY In consideration of the payments and other benefits set forth in the Employment Agreement effective April 25, 2022, to which this form is attached, I, Dennis Mulroy, hereby furnish AnaptysBio, Inc. (the “Company”), with the following release and waiver (“Release and Waiver”). In exchange for the consideration provided to me by the Employment Agreement that I am not otherwise entitled to receive, I hereby generally and completely release the Company and its current and former directors, officers, employees, stockholders, partners, agents, attorneys, predecessors, successors, parent and subsidiary entities, insurers, affiliates, and assigns (collectively, the “Released Parties”) from any and all claims, liabilities and obligations, both known and unknown, that arise out of or are in any way related to events, acts, conduct, or omissions occurring prior to or on the date that I sign this Agreement (collectively, the “Released Claims”). The Released Claims include, but are not limited to: (a) all claims arising out of or in any way related to my employment with the Company, or the termination of that employment; (b) all claims related to my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misclassification, attorneys’ fees, or other claims arising under the federal Civil Rights Act of 1964 (as amended), the federal Americans with Disabilities Act of 1990, the federal Age Discrimination in Employment Act of 1967 (as amended) (the “ADEA”), the California Labor Code, and the California Fair Employment and Housing Act (as amended). Notwithstanding the foregoing, the following are not included in the Released Claims (the “Excluded Claims”): (a) any rights or claims for indemnification I may have pursuant to the charter or bylaws of the Company or under applicable law; (b) any rights or claims to unemployment compensation, funds accrued in my 401k account, or any vested equity incentives; (c) any rights that are not waivable as a matter of law; or (d) any claims arising from the breach of this Agreement. I hereby represent and warrant that, other than the Excluded Claims, I am not aware of any claims I have or might have against any of the Released Parties that are not included in the Released Claims. I also acknowledge that I have read and understand Section 1542 of the California Civil Code which reads as follows: “A general release does not extend to claims which the creditor does not know or suspect to exist in his or her favor at the time of executing the release, which if known by him or her must have materially affected his or her settlement with the debtor.” I hereby expressly waive and relinquish all rights and benefits under that Section and any law of any jurisdiction, including New York, of similar effect with respect to any claims I may have against the Company. 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4"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 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 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 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 Date: By: DENNIS MULROY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2028825" cy="476250"/>
            <wp:effectExtent l="0" t="0" r="0" b="0"/>
            <wp:docPr id="1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5" descr=""/>
                    <pic:cNvPicPr>
                      <a:picLocks noChangeAspect="1" noChangeArrowheads="1"/>
                    </pic:cNvPicPr>
                  </pic:nvPicPr>
                  <pic:blipFill>
                    <a:blip r:embed="rId52"/>
                    <a:stretch>
                      <a:fillRect/>
                    </a:stretch>
                  </pic:blipFill>
                  <pic:spPr bwMode="auto">
                    <a:xfrm>
                      <a:off x="0" y="0"/>
                      <a:ext cx="2028825" cy="476250"/>
                    </a:xfrm>
                    <a:prstGeom prst="rect">
                      <a:avLst/>
                    </a:prstGeom>
                  </pic:spPr>
                </pic:pic>
              </a:graphicData>
            </a:graphic>
          </wp:inline>
        </w:drawing>
      </w:r>
    </w:p>
    <w:p>
      <w:pPr>
        <w:pStyle w:val="TextBody"/>
        <w:bidi w:val="0"/>
        <w:spacing w:before="0" w:after="240"/>
        <w:jc w:val="both"/>
        <w:rPr/>
      </w:pPr>
      <w:r>
        <w:rPr/>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8"/>
        </w:rPr>
      </w:pPr>
      <w:r>
        <w:rPr>
          <w:rFonts w:ascii="Arial;sans-serif" w:hAnsi="Arial;sans-serif"/>
          <w:b/>
          <w:color w:val="000000"/>
          <w:sz w:val="28"/>
        </w:rPr>
        <w:t>Insider Trading Policy</w:t>
      </w:r>
    </w:p>
    <w:p>
      <w:pPr>
        <w:pStyle w:val="TextBody"/>
        <w:bidi w:val="0"/>
        <w:spacing w:lineRule="auto" w:line="333" w:before="0" w:after="240"/>
        <w:jc w:val="center"/>
        <w:rPr>
          <w:rFonts w:ascii="Arial;sans-serif" w:hAnsi="Arial;sans-serif"/>
          <w:b/>
          <w:color w:val="000000"/>
          <w:sz w:val="22"/>
        </w:rPr>
      </w:pPr>
      <w:r>
        <w:rPr>
          <w:rFonts w:ascii="Arial;sans-serif" w:hAnsi="Arial;sans-serif"/>
          <w:b/>
          <w:color w:val="000000"/>
          <w:sz w:val="22"/>
        </w:rPr>
        <w:t>(as amended December 2, 2024)</w:t>
      </w:r>
    </w:p>
    <w:p>
      <w:pPr>
        <w:pStyle w:val="TextBody"/>
        <w:bidi w:val="0"/>
        <w:spacing w:lineRule="auto" w:line="333" w:before="0" w:after="240"/>
        <w:jc w:val="both"/>
        <w:rPr>
          <w:rFonts w:ascii="Arial;sans-serif" w:hAnsi="Arial;sans-serif"/>
          <w:b/>
          <w:color w:val="000000"/>
          <w:sz w:val="22"/>
        </w:rPr>
      </w:pPr>
      <w:r>
        <w:rPr>
          <w:rFonts w:ascii="Arial;sans-serif" w:hAnsi="Arial;sans-serif"/>
          <w:b/>
          <w:color w:val="000000"/>
          <w:sz w:val="22"/>
        </w:rPr>
        <w:t>I.    Purpose</w:t>
      </w:r>
    </w:p>
    <w:p>
      <w:pPr>
        <w:pStyle w:val="TextBody"/>
        <w:bidi w:val="0"/>
        <w:spacing w:lineRule="auto" w:line="333" w:before="0" w:after="240"/>
        <w:ind w:left="0" w:right="0" w:firstLine="720"/>
        <w:jc w:val="both"/>
        <w:rPr/>
      </w:pPr>
      <w:r>
        <w:rPr>
          <w:rFonts w:ascii="Arial;sans-serif" w:hAnsi="Arial;sans-serif"/>
          <w:b w:val="false"/>
          <w:color w:val="000000"/>
          <w:sz w:val="22"/>
        </w:rPr>
        <w:t>It is illegal for any employee, officer or director of AnaptysBio, Inc. (collectively with its subsidiaries, the “</w:t>
      </w:r>
      <w:r>
        <w:rPr>
          <w:rFonts w:ascii="Arial;sans-serif" w:hAnsi="Arial;sans-serif"/>
          <w:b/>
          <w:color w:val="000000"/>
          <w:sz w:val="22"/>
        </w:rPr>
        <w:t>Company</w:t>
      </w:r>
      <w:r>
        <w:rPr>
          <w:color w:val="000000"/>
        </w:rPr>
        <w:t>”</w:t>
      </w:r>
      <w:r>
        <w:rPr>
          <w:rFonts w:ascii="Arial;sans-serif" w:hAnsi="Arial;sans-serif"/>
          <w:b w:val="false"/>
          <w:color w:val="000000"/>
          <w:sz w:val="22"/>
        </w:rPr>
        <w:t>), to trade in the securities of the Company while in the possession of material nonpublic information about the Company. It is also illegal for any employee, officer or director of the Company to give material nonpublic information about the Company to others who may trade on the basis of that information.</w:t>
      </w:r>
    </w:p>
    <w:p>
      <w:pPr>
        <w:pStyle w:val="TextBody"/>
        <w:bidi w:val="0"/>
        <w:spacing w:lineRule="auto" w:line="333" w:before="0" w:after="240"/>
        <w:ind w:left="0" w:right="0" w:firstLine="720"/>
        <w:jc w:val="both"/>
        <w:rPr/>
      </w:pPr>
      <w:r>
        <w:rPr>
          <w:rFonts w:ascii="Arial;sans-serif" w:hAnsi="Arial;sans-serif"/>
          <w:b w:val="false"/>
          <w:color w:val="000000"/>
          <w:sz w:val="22"/>
        </w:rPr>
        <w:t>In order to comply with federal and state securities laws governing (i) trading in Company securities while in the possession of material nonpublic information about the Company and (ii) tipping or disclosing material nonpublic information about the Company to any outside person, and in order to prevent the appearance of improper trading or tipping, the Company has adopted this policy for all of its employees, officers and directors, members of their immediate families and venture capital funds and other entities (such as trusts and corporations) over which such employees, officers or directors have or share voting or investment control. Under this policy, members of “</w:t>
      </w:r>
      <w:r>
        <w:rPr>
          <w:rFonts w:ascii="Arial;sans-serif" w:hAnsi="Arial;sans-serif"/>
          <w:b/>
          <w:color w:val="000000"/>
          <w:sz w:val="22"/>
        </w:rPr>
        <w:t>immediate families</w:t>
      </w:r>
      <w:r>
        <w:rPr>
          <w:color w:val="000000"/>
        </w:rPr>
        <w:t xml:space="preserve">” </w:t>
      </w:r>
      <w:r>
        <w:rPr>
          <w:rFonts w:ascii="Arial;sans-serif" w:hAnsi="Arial;sans-serif"/>
          <w:b w:val="false"/>
          <w:color w:val="000000"/>
          <w:sz w:val="22"/>
        </w:rPr>
        <w:t>means any child, stepchild, parent, stepparent, spouse, domestic partner, sibling, mother-in-law, father-in-law, son-in-law, daughter-in-law, brother-in-law, or sister-in-law of a person security holder, and includes any person (other than a tenant or employee) sharing the household of that person.</w:t>
      </w:r>
    </w:p>
    <w:p>
      <w:pPr>
        <w:pStyle w:val="TextBody"/>
        <w:bidi w:val="0"/>
        <w:spacing w:lineRule="auto" w:line="333" w:before="0" w:after="240"/>
        <w:jc w:val="both"/>
        <w:rPr>
          <w:rFonts w:ascii="Arial;sans-serif" w:hAnsi="Arial;sans-serif"/>
          <w:b/>
          <w:color w:val="000000"/>
          <w:sz w:val="22"/>
        </w:rPr>
      </w:pPr>
      <w:r>
        <w:rPr>
          <w:rFonts w:ascii="Arial;sans-serif" w:hAnsi="Arial;sans-serif"/>
          <w:b/>
          <w:color w:val="000000"/>
          <w:sz w:val="22"/>
        </w:rPr>
        <w:t>II.    Scope</w:t>
      </w:r>
    </w:p>
    <w:p>
      <w:pPr>
        <w:pStyle w:val="TextBody"/>
        <w:bidi w:val="0"/>
        <w:spacing w:lineRule="auto" w:line="333" w:before="0" w:after="240"/>
        <w:ind w:left="0" w:right="0" w:hanging="720"/>
        <w:jc w:val="both"/>
        <w:rPr/>
      </w:pPr>
      <w:r>
        <w:rPr>
          <w:rFonts w:ascii="Arial;sans-serif" w:hAnsi="Arial;sans-serif"/>
          <w:b w:val="false"/>
          <w:color w:val="000000"/>
          <w:sz w:val="22"/>
        </w:rPr>
        <w:t>A.    This policy covers all employees, officers and directors of the Company, members of their immediate families and venture capital funds and other entities (such as trusts and corporations) over which such employees, officers or directors have or share voting or investment control and any consultants of the Company who have agreed to comply with this policy (such parties, collectively, “</w:t>
      </w:r>
      <w:r>
        <w:rPr>
          <w:rFonts w:ascii="Arial;sans-serif" w:hAnsi="Arial;sans-serif"/>
          <w:b/>
          <w:color w:val="000000"/>
          <w:sz w:val="22"/>
        </w:rPr>
        <w:t>Insiders</w:t>
      </w:r>
      <w:r>
        <w:rPr>
          <w:color w:val="000000"/>
        </w:rPr>
        <w:t>”</w:t>
      </w:r>
      <w:r>
        <w:rPr>
          <w:rFonts w:ascii="Arial;sans-serif" w:hAnsi="Arial;sans-serif"/>
          <w:b w:val="false"/>
          <w:color w:val="000000"/>
          <w:sz w:val="22"/>
        </w:rPr>
        <w:t>). Employees, officers and directors are responsible for ensuring compliance by their immediate families and entities over which they exercise voting or investment control. Additional trading restrictions in this policy apply to the Company’s officers (as defined in Rule 16a-1(f) of the Securities Exchange Act of 1934, as amended (the “</w:t>
      </w:r>
      <w:r>
        <w:rPr>
          <w:rFonts w:ascii="Arial;sans-serif" w:hAnsi="Arial;sans-serif"/>
          <w:b/>
          <w:color w:val="000000"/>
          <w:sz w:val="22"/>
        </w:rPr>
        <w:t>Exchange Act</w:t>
      </w:r>
      <w:r>
        <w:rPr>
          <w:color w:val="000000"/>
        </w:rPr>
        <w:t>”</w:t>
      </w:r>
      <w:r>
        <w:rPr>
          <w:rFonts w:ascii="Arial;sans-serif" w:hAnsi="Arial;sans-serif"/>
          <w:b w:val="false"/>
          <w:color w:val="000000"/>
          <w:sz w:val="22"/>
        </w:rPr>
        <w:t>)), and directors (together with the officers, the “</w:t>
      </w:r>
      <w:r>
        <w:rPr>
          <w:rFonts w:ascii="Arial;sans-serif" w:hAnsi="Arial;sans-serif"/>
          <w:b/>
          <w:color w:val="000000"/>
          <w:sz w:val="22"/>
        </w:rPr>
        <w:t>Section 16 Insiders</w:t>
      </w:r>
      <w:r>
        <w:rPr>
          <w:color w:val="000000"/>
        </w:rPr>
        <w:t>”</w:t>
      </w:r>
      <w:r>
        <w:rPr>
          <w:rFonts w:ascii="Arial;sans-serif" w:hAnsi="Arial;sans-serif"/>
          <w:b w:val="false"/>
          <w:color w:val="000000"/>
          <w:sz w:val="22"/>
        </w:rPr>
        <w:t xml:space="preserve">) and to the other individuals listed on </w:t>
      </w:r>
      <w:r>
        <w:rPr>
          <w:rFonts w:ascii="Arial;sans-serif" w:hAnsi="Arial;sans-serif"/>
          <w:b w:val="false"/>
          <w:color w:val="000000"/>
          <w:sz w:val="22"/>
          <w:u w:val="single"/>
        </w:rPr>
        <w:t>Exhibit A</w:t>
      </w:r>
      <w:r>
        <w:rPr>
          <w:color w:val="000000"/>
        </w:rPr>
        <w:t xml:space="preserve"> </w:t>
      </w:r>
      <w:r>
        <w:rPr>
          <w:rFonts w:ascii="Arial;sans-serif" w:hAnsi="Arial;sans-serif"/>
          <w:b w:val="false"/>
          <w:color w:val="000000"/>
          <w:sz w:val="22"/>
        </w:rPr>
        <w:t>(“</w:t>
      </w:r>
      <w:r>
        <w:rPr>
          <w:rFonts w:ascii="Arial;sans-serif" w:hAnsi="Arial;sans-serif"/>
          <w:b/>
          <w:color w:val="000000"/>
          <w:sz w:val="22"/>
        </w:rPr>
        <w:t>Designated Insiders</w:t>
      </w:r>
      <w:r>
        <w:rPr>
          <w:color w:val="000000"/>
        </w:rPr>
        <w:t>”</w:t>
      </w:r>
      <w:r>
        <w:rPr>
          <w:rFonts w:ascii="Arial;sans-serif" w:hAnsi="Arial;sans-serif"/>
          <w:b w:val="false"/>
          <w:color w:val="000000"/>
          <w:sz w:val="22"/>
        </w:rPr>
        <w:t>) who are not Section 16 Insiders but who have regular access to material nonpublic information about the Company in the normal course of their job. The list of Designated Insiders may be modified by the Company’s Compliance Officer (as defined in Section IV below) from time to time.</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2"/>
                              </w:rPr>
                            </w:pPr>
                            <w:r>
                              <w:rPr>
                                <w:rFonts w:ascii="Arial;sans-serif" w:hAnsi="Arial;sans-serif"/>
                                <w:b w:val="false"/>
                                <w:color w:val="000000"/>
                                <w:sz w:val="22"/>
                              </w:rPr>
                              <w:t>Page 1 of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2"/>
                        </w:rPr>
                      </w:pPr>
                      <w:r>
                        <w:rPr>
                          <w:rFonts w:ascii="Arial;sans-serif" w:hAnsi="Arial;sans-serif"/>
                          <w:b w:val="false"/>
                          <w:color w:val="000000"/>
                          <w:sz w:val="22"/>
                        </w:rPr>
                        <w:t>Page 1 of 14</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240"/>
        <w:ind w:left="0" w:right="0" w:hanging="720"/>
        <w:jc w:val="both"/>
        <w:rPr/>
      </w:pPr>
      <w:r>
        <w:rPr>
          <w:rFonts w:ascii="Arial;sans-serif" w:hAnsi="Arial;sans-serif"/>
          <w:b w:val="false"/>
          <w:color w:val="000000"/>
          <w:sz w:val="22"/>
        </w:rPr>
        <w:t>B.    This policy applies to any and all transactions in the Company’s securities, including shares of its Common Stock, options to purchase Common Stock, and restricted stock units (“</w:t>
      </w:r>
      <w:r>
        <w:rPr>
          <w:rFonts w:ascii="Arial;sans-serif" w:hAnsi="Arial;sans-serif"/>
          <w:b/>
          <w:color w:val="000000"/>
          <w:sz w:val="22"/>
        </w:rPr>
        <w:t>RSUs</w:t>
      </w:r>
      <w:r>
        <w:rPr>
          <w:color w:val="000000"/>
        </w:rPr>
        <w:t>”</w:t>
      </w:r>
      <w:r>
        <w:rPr>
          <w:rFonts w:ascii="Arial;sans-serif" w:hAnsi="Arial;sans-serif"/>
          <w:b w:val="false"/>
          <w:color w:val="000000"/>
          <w:sz w:val="22"/>
        </w:rPr>
        <w:t>) (as described in more detail in Section VI.E below), however acquired, and any other type of securities that the Company may issue, such as shares of preferred stock, convertible debentures, warrants and exchange-traded options or other derivative securities.</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C.    This policy will be delivered to all employees, officers and directors upon its adoption by the Company, and to all new employees, officers and directors at the start of their employment or relationship with the Company. Upon first receiving a copy of this policy or any revised versions, each employee, officer or director must sign a certification that he or she has received a copy and agrees to comply with the terms of this policy. This certification and agreement will constitute consent for the Company to impose sanctions for violation of this policy and to issue any necessary stop-transfer orders to the Company’s transfer agent to enforce compliance with this policy. As discussed in Section VII.B, sanctions for individuals may include demotion or other disciplinary actions, up to and including termination of employment, if the Company has a reasonable basis to conclude that this policy has been violated. Section 16 Insiders and Designated Insiders, as defined above, may be required to certify compliance with this policy on an annual basis.</w:t>
      </w:r>
    </w:p>
    <w:p>
      <w:pPr>
        <w:pStyle w:val="TextBody"/>
        <w:bidi w:val="0"/>
        <w:spacing w:lineRule="auto" w:line="333" w:before="0" w:after="240"/>
        <w:ind w:left="0" w:right="0" w:hanging="720"/>
        <w:jc w:val="both"/>
        <w:rPr/>
      </w:pPr>
      <w:r>
        <w:rPr>
          <w:rFonts w:ascii="Arial;sans-serif" w:hAnsi="Arial;sans-serif"/>
          <w:b w:val="false"/>
          <w:color w:val="000000"/>
          <w:sz w:val="22"/>
        </w:rPr>
        <w:t>D.    This policy allows for trades by employees, officers and directors made in compliance with Rule 10b5-1 (“</w:t>
      </w:r>
      <w:r>
        <w:rPr>
          <w:rFonts w:ascii="Arial;sans-serif" w:hAnsi="Arial;sans-serif"/>
          <w:b/>
          <w:color w:val="000000"/>
          <w:sz w:val="22"/>
        </w:rPr>
        <w:t>Rule 10b5-1</w:t>
      </w:r>
      <w:r>
        <w:rPr>
          <w:color w:val="000000"/>
        </w:rPr>
        <w:t>”</w:t>
      </w:r>
      <w:r>
        <w:rPr>
          <w:rFonts w:ascii="Arial;sans-serif" w:hAnsi="Arial;sans-serif"/>
          <w:b w:val="false"/>
          <w:color w:val="000000"/>
          <w:sz w:val="22"/>
        </w:rPr>
        <w:t>) promulgated by the Securities and Exchange Commission (“</w:t>
      </w:r>
      <w:r>
        <w:rPr>
          <w:rFonts w:ascii="Arial;sans-serif" w:hAnsi="Arial;sans-serif"/>
          <w:b/>
          <w:color w:val="000000"/>
          <w:sz w:val="22"/>
        </w:rPr>
        <w:t>SEC</w:t>
      </w:r>
      <w:r>
        <w:rPr>
          <w:color w:val="000000"/>
        </w:rPr>
        <w:t>”</w:t>
      </w:r>
      <w:r>
        <w:rPr>
          <w:rFonts w:ascii="Arial;sans-serif" w:hAnsi="Arial;sans-serif"/>
          <w:b w:val="false"/>
          <w:color w:val="000000"/>
          <w:sz w:val="22"/>
        </w:rPr>
        <w:t>) under the Exchange Act, subject to the approval of the Compliance Officer.</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E.    The Company may change these procedures or adopt such other procedures in the future as the Company considers appropriate in order to carry out the purposes of this policy.</w:t>
      </w:r>
    </w:p>
    <w:p>
      <w:pPr>
        <w:pStyle w:val="TextBody"/>
        <w:bidi w:val="0"/>
        <w:spacing w:lineRule="auto" w:line="333" w:before="0" w:after="240"/>
        <w:jc w:val="both"/>
        <w:rPr>
          <w:rFonts w:ascii="Arial;sans-serif" w:hAnsi="Arial;sans-serif"/>
          <w:b/>
          <w:color w:val="000000"/>
          <w:sz w:val="22"/>
        </w:rPr>
      </w:pPr>
      <w:r>
        <w:rPr>
          <w:rFonts w:ascii="Arial;sans-serif" w:hAnsi="Arial;sans-serif"/>
          <w:b/>
          <w:color w:val="000000"/>
          <w:sz w:val="22"/>
        </w:rPr>
        <w:t>III.    Section 16 Insiders and Designated Insiders</w:t>
      </w:r>
    </w:p>
    <w:p>
      <w:pPr>
        <w:pStyle w:val="TextBody"/>
        <w:bidi w:val="0"/>
        <w:spacing w:lineRule="auto" w:line="333" w:before="0" w:after="240"/>
        <w:ind w:left="0" w:right="0" w:firstLine="720"/>
        <w:jc w:val="both"/>
        <w:rPr/>
      </w:pPr>
      <w:r>
        <w:rPr>
          <w:rFonts w:ascii="Arial;sans-serif" w:hAnsi="Arial;sans-serif"/>
          <w:b w:val="false"/>
          <w:color w:val="000000"/>
          <w:sz w:val="22"/>
        </w:rPr>
        <w:t xml:space="preserve">As discussed above, the Company has designated those persons listed on </w:t>
      </w:r>
      <w:r>
        <w:rPr>
          <w:rFonts w:ascii="Arial;sans-serif" w:hAnsi="Arial;sans-serif"/>
          <w:b w:val="false"/>
          <w:color w:val="000000"/>
          <w:sz w:val="22"/>
          <w:u w:val="single"/>
        </w:rPr>
        <w:t>Exhibit A</w:t>
      </w:r>
      <w:r>
        <w:rPr>
          <w:color w:val="000000"/>
        </w:rPr>
        <w:t xml:space="preserve"> </w:t>
      </w:r>
      <w:r>
        <w:rPr>
          <w:rFonts w:ascii="Arial;sans-serif" w:hAnsi="Arial;sans-serif"/>
          <w:b w:val="false"/>
          <w:color w:val="000000"/>
          <w:sz w:val="22"/>
        </w:rPr>
        <w:t xml:space="preserve">attached hereto as the officers and directors who are subject to the reporting provisions and trading restrictions of Section 16 of the Exchange Act, and the underlying rules and regulations promulgated by the SEC. </w:t>
      </w:r>
    </w:p>
    <w:p>
      <w:pPr>
        <w:pStyle w:val="TextBody"/>
        <w:bidi w:val="0"/>
        <w:spacing w:lineRule="auto" w:line="333" w:before="0" w:after="240"/>
        <w:ind w:left="0" w:right="0" w:firstLine="720"/>
        <w:jc w:val="both"/>
        <w:rPr/>
      </w:pPr>
      <w:r>
        <w:rPr>
          <w:rFonts w:ascii="Arial;sans-serif" w:hAnsi="Arial;sans-serif"/>
          <w:b w:val="false"/>
          <w:color w:val="000000"/>
          <w:sz w:val="22"/>
        </w:rPr>
        <w:t xml:space="preserve">As with other employees and officers, Section 16 Insiders and Designated Insiders must obtain prior approval of all trades in Company securities from the Compliance Officer in accordance with the procedures set forth in Section VI.D below. The Compliance Officer will amend </w:t>
      </w:r>
      <w:r>
        <w:rPr>
          <w:rFonts w:ascii="Arial;sans-serif" w:hAnsi="Arial;sans-serif"/>
          <w:b w:val="false"/>
          <w:color w:val="000000"/>
          <w:sz w:val="22"/>
          <w:u w:val="single"/>
        </w:rPr>
        <w:t>Exhibit A</w:t>
      </w:r>
      <w:r>
        <w:rPr>
          <w:color w:val="000000"/>
        </w:rPr>
        <w:t xml:space="preserve"> </w:t>
      </w:r>
      <w:r>
        <w:rPr>
          <w:rFonts w:ascii="Arial;sans-serif" w:hAnsi="Arial;sans-serif"/>
          <w:b w:val="false"/>
          <w:color w:val="000000"/>
          <w:sz w:val="22"/>
        </w:rPr>
        <w:t xml:space="preserve">from time to time as necessary to reflect the addition and the resignation or departure of Section 16 Insiders and/or Designated Insiders. Each Section 16 Insider or Designated Insider must notify the Compliance Officer in writing when such Section 16 Insider or </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2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2 of 14    </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240"/>
        <w:jc w:val="both"/>
        <w:rPr/>
      </w:pPr>
      <w:r>
        <w:rPr>
          <w:rFonts w:ascii="Arial;sans-serif" w:hAnsi="Arial;sans-serif"/>
          <w:b w:val="false"/>
          <w:color w:val="000000"/>
          <w:sz w:val="22"/>
        </w:rPr>
        <w:t xml:space="preserve">Designated Insider believes that he or she is no longer subject to Section 16 of the Exchange Act. If the Company agrees that such Section 16 Insider or Designated Insider is no longer so subject, or if the Company determines independently that such Section 16 Insider or Designated Insider is no longer so subject, then such Section 16 Insider or Designated Insider automatically will be deemed to be removed from </w:t>
      </w:r>
      <w:r>
        <w:rPr>
          <w:rFonts w:ascii="Arial;sans-serif" w:hAnsi="Arial;sans-serif"/>
          <w:b w:val="false"/>
          <w:color w:val="000000"/>
          <w:sz w:val="22"/>
          <w:u w:val="single"/>
        </w:rPr>
        <w:t>Exhibit A</w:t>
      </w:r>
      <w:r>
        <w:rPr>
          <w:color w:val="000000"/>
        </w:rPr>
        <w:t xml:space="preserve"> </w:t>
      </w:r>
      <w:r>
        <w:rPr>
          <w:rFonts w:ascii="Arial;sans-serif" w:hAnsi="Arial;sans-serif"/>
          <w:b w:val="false"/>
          <w:color w:val="000000"/>
          <w:sz w:val="22"/>
        </w:rPr>
        <w:t>effective when it is determined that such Section 16 Insider or Designated Insider is no longer subject to Section 16 of the Exchange Act. The Company will promptly notify any Section 16 Insider or Designated Insider in writing if the Company independently determines that such Section 16 Insider or Designated Insider is no longer subject to Section 16 of the Exchange Act.</w:t>
      </w:r>
    </w:p>
    <w:p>
      <w:pPr>
        <w:pStyle w:val="TextBody"/>
        <w:bidi w:val="0"/>
        <w:spacing w:lineRule="auto" w:line="333" w:before="0" w:after="240"/>
        <w:jc w:val="both"/>
        <w:rPr>
          <w:rFonts w:ascii="Arial;sans-serif" w:hAnsi="Arial;sans-serif"/>
          <w:b/>
          <w:color w:val="000000"/>
          <w:sz w:val="22"/>
        </w:rPr>
      </w:pPr>
      <w:r>
        <w:rPr>
          <w:rFonts w:ascii="Arial;sans-serif" w:hAnsi="Arial;sans-serif"/>
          <w:b/>
          <w:color w:val="000000"/>
          <w:sz w:val="22"/>
        </w:rPr>
        <w:t>IV.    Insider Trading Compliance Officer</w:t>
      </w:r>
    </w:p>
    <w:p>
      <w:pPr>
        <w:pStyle w:val="TextBody"/>
        <w:bidi w:val="0"/>
        <w:spacing w:lineRule="auto" w:line="333" w:before="0" w:after="240"/>
        <w:ind w:left="0" w:right="0" w:firstLine="720"/>
        <w:jc w:val="both"/>
        <w:rPr/>
      </w:pPr>
      <w:r>
        <w:rPr>
          <w:rFonts w:ascii="Arial;sans-serif" w:hAnsi="Arial;sans-serif"/>
          <w:b w:val="false"/>
          <w:color w:val="000000"/>
          <w:sz w:val="22"/>
        </w:rPr>
        <w:t>The Company has designated the Company’s Chief Legal Officer as its Insider Trading Compliance Officer (“</w:t>
      </w:r>
      <w:r>
        <w:rPr>
          <w:rFonts w:ascii="Arial;sans-serif" w:hAnsi="Arial;sans-serif"/>
          <w:b/>
          <w:color w:val="000000"/>
          <w:sz w:val="22"/>
        </w:rPr>
        <w:t>Compliance Officer</w:t>
      </w:r>
      <w:r>
        <w:rPr>
          <w:color w:val="000000"/>
        </w:rPr>
        <w:t>”</w:t>
      </w:r>
      <w:r>
        <w:rPr>
          <w:rFonts w:ascii="Arial;sans-serif" w:hAnsi="Arial;sans-serif"/>
          <w:b w:val="false"/>
          <w:color w:val="000000"/>
          <w:sz w:val="22"/>
        </w:rPr>
        <w:t>) and in the event of the Chief Legal Officer’s unavailability, the Company’s Chief Financial Officer or Chief Executive Officer shall be authorized to serve as Compliance Officer in the interim. The Compliance Officer will review and either approve or prohibit all proposed trades by all Section 16 Insiders and Designated Insiders in accordance with the procedures set forth in Section VI.D below, except that with respect to proposed trades by the Chief Legal Officer when also serving as the Compliance Officer, any such proposed trades must be approved by the Company’s Chief Financial Officer. The Compliance Officer may consult with the Company’s outside legal counsel.</w:t>
      </w:r>
    </w:p>
    <w:p>
      <w:pPr>
        <w:pStyle w:val="TextBody"/>
        <w:bidi w:val="0"/>
        <w:spacing w:lineRule="auto" w:line="333"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In addition to the trading approval duties described in Section VI.D below, the duties of the Compliance Officer will include the following:</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A.    Administering and interpreting this policy and monitoring and enforcing compliance with all of the provisions and procedures set forth in this policy.</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B.    Responding to all inquiries relating to this policy and its procedures.</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C.    Designating and announcing special trading blackout periods during which no designated employees, officers or directors may trade in Company securities.</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D.    Providing copies of this policy and other appropriate materials to all current and new employees, officers and directors, and such other persons who the Compliance Officer determines may have access to material nonpublic information about the Company.</w:t>
      </w:r>
    </w:p>
    <w:p>
      <w:pPr>
        <w:pStyle w:val="TextBody"/>
        <w:bidi w:val="0"/>
        <w:spacing w:lineRule="auto" w:line="333" w:before="0" w:after="240"/>
        <w:ind w:left="0" w:right="0" w:hanging="720"/>
        <w:jc w:val="both"/>
        <w:rPr/>
      </w:pPr>
      <w:r>
        <w:rPr>
          <w:rFonts w:ascii="Arial;sans-serif" w:hAnsi="Arial;sans-serif"/>
          <w:b w:val="false"/>
          <w:color w:val="000000"/>
          <w:sz w:val="22"/>
        </w:rPr>
        <w:t>E.    Administering, monitoring and enforcing compliance with all federal and state insider trading laws and regulations, including, without limitation, Sections 10(b), 16, 20A and 21A of the Exchange Act and the rules and regulations promulgated thereunder, and Rule 144 under the Securities Act of 1933, as amended (“</w:t>
      </w:r>
      <w:r>
        <w:rPr>
          <w:rFonts w:ascii="Arial;sans-serif" w:hAnsi="Arial;sans-serif"/>
          <w:b/>
          <w:color w:val="000000"/>
          <w:sz w:val="22"/>
        </w:rPr>
        <w:t>Securities Act</w:t>
      </w:r>
      <w:r>
        <w:rPr>
          <w:color w:val="000000"/>
        </w:rPr>
        <w:t>”</w:t>
      </w:r>
      <w:r>
        <w:rPr>
          <w:rFonts w:ascii="Arial;sans-serif" w:hAnsi="Arial;sans-serif"/>
          <w:b w:val="false"/>
          <w:color w:val="000000"/>
          <w:sz w:val="22"/>
        </w:rPr>
        <w:t xml:space="preserve">); and assisting in the preparation and filing of all required SEC </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3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3 of 14    </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reports relating to insider trading in Company securities, including without limitation Forms 3, 4, 5 and 144 and Schedules 13D and 13G.</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F.    Revising the policy as necessary to reflect changes in federal or state insider trading laws and regulations, subject to approval by the Company’s Board of Directors or a duly authorized committee thereof.</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G.    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H.    Maintaining the accuracy of the list of Designated Insiders attached on Exhibit A and updating such list periodically as necessary to reflect additions or deletions.</w:t>
      </w:r>
    </w:p>
    <w:p>
      <w:pPr>
        <w:pStyle w:val="TextBody"/>
        <w:bidi w:val="0"/>
        <w:spacing w:lineRule="auto" w:line="333"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The Compliance Officer may designate one or more individuals who may perform the Compliance Officer’s duties in the event that the Compliance Officer is unable or unavailable to perform such duties.</w:t>
      </w:r>
    </w:p>
    <w:p>
      <w:pPr>
        <w:pStyle w:val="TextBody"/>
        <w:bidi w:val="0"/>
        <w:spacing w:lineRule="auto" w:line="333" w:before="0" w:after="240"/>
        <w:jc w:val="both"/>
        <w:rPr>
          <w:rFonts w:ascii="Arial;sans-serif" w:hAnsi="Arial;sans-serif"/>
          <w:b/>
          <w:color w:val="000000"/>
          <w:sz w:val="22"/>
        </w:rPr>
      </w:pPr>
      <w:r>
        <w:rPr>
          <w:rFonts w:ascii="Arial;sans-serif" w:hAnsi="Arial;sans-serif"/>
          <w:b/>
          <w:color w:val="000000"/>
          <w:sz w:val="22"/>
        </w:rPr>
        <w:t>V.    Definition of “Material Nonpublic Information”</w:t>
      </w:r>
    </w:p>
    <w:p>
      <w:pPr>
        <w:pStyle w:val="TextBody"/>
        <w:bidi w:val="0"/>
        <w:spacing w:lineRule="auto" w:line="333" w:before="0" w:after="240"/>
        <w:ind w:left="0" w:right="0" w:hanging="720"/>
        <w:jc w:val="both"/>
        <w:rPr/>
      </w:pPr>
      <w:r>
        <w:rPr>
          <w:rFonts w:ascii="Arial;sans-serif" w:hAnsi="Arial;sans-serif"/>
          <w:b w:val="false"/>
          <w:color w:val="000000"/>
          <w:sz w:val="22"/>
        </w:rPr>
        <w:t>A.    </w:t>
      </w:r>
      <w:r>
        <w:rPr>
          <w:color w:val="000000"/>
        </w:rPr>
        <w:t>“</w:t>
      </w:r>
      <w:r>
        <w:rPr>
          <w:rFonts w:ascii="Arial;sans-serif" w:hAnsi="Arial;sans-serif"/>
          <w:b/>
          <w:color w:val="000000"/>
          <w:sz w:val="22"/>
        </w:rPr>
        <w:t>Material” Information</w:t>
      </w:r>
    </w:p>
    <w:p>
      <w:pPr>
        <w:pStyle w:val="TextBody"/>
        <w:bidi w:val="0"/>
        <w:spacing w:lineRule="auto" w:line="333"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Information about the Company is “material” if it would be expected to affect the investment or voting decisions of a reasonable stockholder or investor or if the disclosure of the information would be expected to alter significantly the total mix of the information in the marketplace about the Company. In simple terms, material information is any type of information that could reasonably be expected to affect the market price of the Company’s securities. Material information can be positive or negative and can relate to virtually any aspect of the Company’s business or its securities. While it is not possible to identify all information that would be deemed “material,” the following types of information would ordinarily be considered material:</w:t>
      </w:r>
    </w:p>
    <w:p>
      <w:pPr>
        <w:pStyle w:val="TextBody"/>
        <w:bidi w:val="0"/>
        <w:spacing w:before="0" w:after="240"/>
        <w:jc w:val="both"/>
        <w:rPr/>
      </w:pPr>
      <w:r>
        <w:rPr/>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financial performance, such as quarterly and year-end operating results, and changes in financial performance or liquidity;</w:t>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operational metrics, such as employee counts and distribution by geography or function;</w:t>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results or material data from clinical or pre-clinical testing or trials or other significant development milestones;</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4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4 of 14    </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restatements of historical financial statements;</w:t>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significant communications to or from regulatory agencies or other significant regulatory developments;</w:t>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initiation of a new clinical trial for a product candidate;</w:t>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potential mergers, acquisitions or material sales of Company assets or subsidiaries;</w:t>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developments regarding suppliers, collaborators or partners, such as the acquisition or loss of a significant contract or a development agreement;</w:t>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stock splits, public or private securities and/or debt offerings or issuances of dividends;</w:t>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entry into a new, or cancellation of, a major strategic relationship;</w:t>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introduction of new product candidates;</w:t>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initiation of a significant lawsuit; and</w:t>
      </w:r>
    </w:p>
    <w:p>
      <w:pPr>
        <w:pStyle w:val="TextBody"/>
        <w:bidi w:val="0"/>
        <w:spacing w:lineRule="auto" w:line="333" w:before="0" w:after="240"/>
        <w:ind w:left="0" w:right="0" w:hanging="1080"/>
        <w:jc w:val="both"/>
        <w:rPr>
          <w:color w:val="000000"/>
        </w:rPr>
      </w:pPr>
      <w:r>
        <w:rPr>
          <w:color w:val="000000"/>
        </w:rPr>
        <w:t>•    </w:t>
      </w:r>
      <w:r>
        <w:rPr>
          <w:rFonts w:ascii="Arial;sans-serif" w:hAnsi="Arial;sans-serif"/>
          <w:b w:val="false"/>
          <w:color w:val="000000"/>
          <w:sz w:val="22"/>
        </w:rPr>
        <w:t>significant changes in senior management.</w:t>
      </w:r>
    </w:p>
    <w:p>
      <w:pPr>
        <w:pStyle w:val="TextBody"/>
        <w:bidi w:val="0"/>
        <w:spacing w:lineRule="auto" w:line="333" w:before="0" w:after="240"/>
        <w:ind w:left="0" w:right="0" w:hanging="720"/>
        <w:jc w:val="both"/>
        <w:rPr/>
      </w:pPr>
      <w:r>
        <w:rPr>
          <w:rFonts w:ascii="Arial;sans-serif" w:hAnsi="Arial;sans-serif"/>
          <w:b w:val="false"/>
          <w:color w:val="000000"/>
          <w:sz w:val="22"/>
        </w:rPr>
        <w:t>B.    </w:t>
      </w:r>
      <w:r>
        <w:rPr>
          <w:color w:val="000000"/>
        </w:rPr>
        <w:t>“</w:t>
      </w:r>
      <w:r>
        <w:rPr>
          <w:rFonts w:ascii="Arial;sans-serif" w:hAnsi="Arial;sans-serif"/>
          <w:b/>
          <w:color w:val="000000"/>
          <w:sz w:val="22"/>
        </w:rPr>
        <w:t>Nonpublic” Information</w:t>
      </w:r>
    </w:p>
    <w:p>
      <w:pPr>
        <w:pStyle w:val="TextBody"/>
        <w:bidi w:val="0"/>
        <w:spacing w:lineRule="auto" w:line="333" w:before="0" w:after="240"/>
        <w:ind w:left="0" w:right="0" w:firstLine="720"/>
        <w:jc w:val="both"/>
        <w:rPr/>
      </w:pPr>
      <w:r>
        <w:rPr>
          <w:rFonts w:ascii="Arial;sans-serif" w:hAnsi="Arial;sans-serif"/>
          <w:b w:val="false"/>
          <w:color w:val="000000"/>
          <w:sz w:val="22"/>
        </w:rPr>
        <w:t xml:space="preserve">Material information about the Company is “nonpublic” if it has not been widely disseminated to the public, for example, through major newswire services, national news services, Web casts or financial news services. For the purposes of this policy, information about the Company will be considered public, </w:t>
      </w:r>
      <w:r>
        <w:rPr>
          <w:rFonts w:ascii="Arial;sans-serif" w:hAnsi="Arial;sans-serif"/>
          <w:b w:val="false"/>
          <w:i/>
          <w:color w:val="000000"/>
          <w:sz w:val="22"/>
        </w:rPr>
        <w:t>i.e.</w:t>
      </w:r>
      <w:r>
        <w:rPr>
          <w:rFonts w:ascii="Arial;sans-serif" w:hAnsi="Arial;sans-serif"/>
          <w:b w:val="false"/>
          <w:color w:val="000000"/>
          <w:sz w:val="22"/>
        </w:rPr>
        <w:t>, no longer “nonpublic,” at the opening of trading on the second full trading day following the Company’s widespread public release of the information.</w:t>
      </w:r>
    </w:p>
    <w:p>
      <w:pPr>
        <w:pStyle w:val="TextBody"/>
        <w:bidi w:val="0"/>
        <w:spacing w:lineRule="auto" w:line="333" w:before="0" w:after="240"/>
        <w:ind w:left="0" w:right="0" w:hanging="720"/>
        <w:jc w:val="both"/>
        <w:rPr/>
      </w:pPr>
      <w:r>
        <w:rPr>
          <w:rFonts w:ascii="Arial;sans-serif" w:hAnsi="Arial;sans-serif"/>
          <w:b w:val="false"/>
          <w:color w:val="000000"/>
          <w:sz w:val="22"/>
        </w:rPr>
        <w:t>C.    </w:t>
      </w:r>
      <w:r>
        <w:rPr>
          <w:rFonts w:ascii="Arial;sans-serif" w:hAnsi="Arial;sans-serif"/>
          <w:b/>
          <w:color w:val="000000"/>
          <w:sz w:val="22"/>
        </w:rPr>
        <w:t>Consult the Compliance Officer for Guidance</w:t>
      </w:r>
    </w:p>
    <w:p>
      <w:pPr>
        <w:pStyle w:val="TextBody"/>
        <w:bidi w:val="0"/>
        <w:spacing w:lineRule="auto" w:line="333"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Employees, officers or directors who are unsure whether the information about the Company that they possess is material or nonpublic must consult the Compliance Officer for guidance before trading in any Company securities.</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5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5 of 14    </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240"/>
        <w:jc w:val="both"/>
        <w:rPr>
          <w:rFonts w:ascii="Arial;sans-serif" w:hAnsi="Arial;sans-serif"/>
          <w:b/>
          <w:color w:val="000000"/>
          <w:sz w:val="22"/>
        </w:rPr>
      </w:pPr>
      <w:r>
        <w:rPr>
          <w:rFonts w:ascii="Arial;sans-serif" w:hAnsi="Arial;sans-serif"/>
          <w:b/>
          <w:color w:val="000000"/>
          <w:sz w:val="22"/>
        </w:rPr>
        <w:t>VI.    Statement of Company Policy and Procedures</w:t>
      </w:r>
    </w:p>
    <w:p>
      <w:pPr>
        <w:pStyle w:val="TextBody"/>
        <w:bidi w:val="0"/>
        <w:spacing w:lineRule="auto" w:line="333" w:before="0" w:after="240"/>
        <w:ind w:left="0" w:right="0" w:hanging="720"/>
        <w:jc w:val="both"/>
        <w:rPr/>
      </w:pPr>
      <w:r>
        <w:rPr>
          <w:rFonts w:ascii="Arial;sans-serif" w:hAnsi="Arial;sans-serif"/>
          <w:b w:val="false"/>
          <w:color w:val="000000"/>
          <w:sz w:val="22"/>
        </w:rPr>
        <w:t>A.    </w:t>
      </w:r>
      <w:r>
        <w:rPr>
          <w:rFonts w:ascii="Arial;sans-serif" w:hAnsi="Arial;sans-serif"/>
          <w:b/>
          <w:color w:val="000000"/>
          <w:sz w:val="22"/>
        </w:rPr>
        <w:t>Prohibited Activities for Insiders</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1.    No Insider may trade in Company securities while possessing material nonpublic information about the Company (other than pursuant to a 10b5-1 Plan or a non-Rule 10b5-1 Trading Arrangement (as defined below) entered into in accordance with this Policy). It does not matter that there may exist a justifiable reason for a purchase or sale apart from the nonpublic information; if the Insider has material nonpublic information about the Company, the prohibition still applies.</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2.    No Insider may trade in Company securities outside of the applicable “trading windows” described in Section VI.C below and no Insider may trade in the Company securities during any special trading blackout periods designated by the Compliance Officer that are applicable to such Insider (other than pursuant to a 10b5-1 Plan or a non-Rule 10b5-1 Trading Arrangement).</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3.    No Insider may trade in Company securities unless the trade has been approved by the Compliance Officer in accordance with the procedures set forth in Section VI.D below (other than pursuant to a 10b5-1 Plan or a non-Rule 10b5-1 Trading Arrangement).</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4.    No Insider may disclose material nonpublic information about the Company to any outside person (including family members, analysts, individual investors and members of the investment community and news media), unless required as part of the regular duties of such employee, director or officer for the Company or authorized by the Compliance Officer. In any instance in which such information is disclosed to outsiders, the Company will take such steps as are necessary to preserve the confidentiality of the information, including requiring the outsider to agree in writing to comply with the terms of this policy and/or to sign a confidentiality agreement. All inquiries from outsiders regarding material nonpublic information about the Company must be forwarded to the Compliance Officer.</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 xml:space="preserve">5.    No Insider may give trading advice of any kind about the Company to anyone while possessing material nonpublic information about the Company, except that employees, officers or directors should advise others not to trade if doing so might violate the law or this policy. The Company strongly discourages all employees, officers and directors from giving trading advice concerning the Company to third parties even when the </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6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6 of 14    </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employees, officers and directors do not possess material nonpublic information about the Company.</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6.    No Insider may acquire, sell, or trade in any interest or position relating to the future price of Company securities, such as a put option, a call option, or a short sale (including a short sale “against the box”).</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7.    No Insider may engage in hedging or monetization transactions, such as zero-cost collars and forward sale contracts.</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8.    No Insider may purchase Company securities on margin, borrow against any account in which Company securities are held, or pledge Company securities as collateral for a loan.</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9.    Other than pursuant to a 10b5-1 Plan or a non-Rule 10b5-1 Trading Arrangement, no Insider may make a gift or other transfer without consideration of Company securities during a period when that Insider is not permitted to trade.</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10.    No Insider may participate, in any manner other than passive observation, in any of the investment or stock-related Internet “chat” rooms, blogs, social media sites or message boards relating to the Company.</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11.    No entity over which an Insider has or shares voting or investment control may distribute securities of the Company to its limited partners, general partners or stockholders during a period when the Insider is not permitted to trade, unless the limited partners, general partners or stockholders of that entity have agreed in writing to hold the securities until the trading window described in VI.C below is first open.</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12.    It is the Company’s policy to disclose material information about the Company to the public only in accordance with its Corporate Communications Policy in order to avoid inappropriate publicity and to ensure that all such information is communicated in a way that is reasonably designed to provide broad, non-exclusionary distribution of information to the public. All inquiries or calls from the press, investors and financial analysts should be referred to a designated Company spokesperson. Please see the Company’s Corporate Communications Policy for details.</w:t>
      </w:r>
    </w:p>
    <w:p>
      <w:pPr>
        <w:pStyle w:val="TextBody"/>
        <w:bidi w:val="0"/>
        <w:spacing w:lineRule="auto" w:line="333"/>
        <w:ind w:left="0" w:right="0" w:firstLine="720"/>
        <w:jc w:val="both"/>
        <w:rPr>
          <w:rFonts w:ascii="Arial;sans-serif" w:hAnsi="Arial;sans-serif"/>
          <w:b w:val="false"/>
          <w:color w:val="000000"/>
          <w:sz w:val="22"/>
        </w:rPr>
      </w:pPr>
      <w:r>
        <w:rPr>
          <w:rFonts w:ascii="Arial;sans-serif" w:hAnsi="Arial;sans-serif"/>
          <w:b w:val="false"/>
          <w:color w:val="000000"/>
          <w:sz w:val="22"/>
        </w:rPr>
        <w:t xml:space="preserve">Further, U.S. insider trading laws generally restrict anyone who is aware of material nonpublic information about a company from trading in that company’s securities, regardless of whether that person is directly connected with such company. Insiders should consider if, through their position at the Company, they </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7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7 of 14    </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0"/>
        <w:jc w:val="both"/>
        <w:rPr>
          <w:rFonts w:ascii="Arial;sans-serif" w:hAnsi="Arial;sans-serif"/>
          <w:b w:val="false"/>
          <w:color w:val="000000"/>
          <w:sz w:val="22"/>
        </w:rPr>
      </w:pPr>
      <w:r>
        <w:rPr>
          <w:rFonts w:ascii="Arial;sans-serif" w:hAnsi="Arial;sans-serif"/>
          <w:b w:val="false"/>
          <w:color w:val="000000"/>
          <w:sz w:val="22"/>
        </w:rPr>
        <w:t>have access to material nonpublic information about the Company that could impact other companies, including competitors. The Securities and Exchange Commission has previously brought charges against individuals based on trading on this kind of information.</w:t>
      </w:r>
    </w:p>
    <w:p>
      <w:pPr>
        <w:pStyle w:val="TextBody"/>
        <w:bidi w:val="0"/>
        <w:spacing w:before="0" w:after="0"/>
        <w:ind w:left="0" w:right="0" w:firstLine="720"/>
        <w:jc w:val="both"/>
        <w:rPr/>
      </w:pPr>
      <w:r>
        <w:rPr/>
      </w:r>
    </w:p>
    <w:p>
      <w:pPr>
        <w:pStyle w:val="TextBody"/>
        <w:bidi w:val="0"/>
        <w:spacing w:lineRule="auto" w:line="333" w:before="0" w:after="240"/>
        <w:ind w:left="0" w:right="0" w:hanging="720"/>
        <w:jc w:val="both"/>
        <w:rPr/>
      </w:pPr>
      <w:r>
        <w:rPr>
          <w:rFonts w:ascii="Arial;sans-serif" w:hAnsi="Arial;sans-serif"/>
          <w:b w:val="false"/>
          <w:color w:val="000000"/>
          <w:sz w:val="22"/>
        </w:rPr>
        <w:t>B.    </w:t>
      </w:r>
      <w:r>
        <w:rPr>
          <w:rFonts w:ascii="Arial;sans-serif" w:hAnsi="Arial;sans-serif"/>
          <w:b/>
          <w:color w:val="000000"/>
          <w:sz w:val="22"/>
        </w:rPr>
        <w:t>Additional Restrictions Applicable to Section 16 Insiders and Designated Insiders</w:t>
      </w:r>
    </w:p>
    <w:p>
      <w:pPr>
        <w:pStyle w:val="TextBody"/>
        <w:bidi w:val="0"/>
        <w:spacing w:lineRule="auto" w:line="333"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In addition to the restrictions noted above and elsewhere in this policy, Section 16 Insiders and Designated Insiders must also comply with the following:</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1.    The Company recommends Section 16 Insiders trade in the Company’s securities pursuant to a 10b5-1 Plan entered into in accordance with this policy.</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2.    Section 16 Insiders and Designated Insiders, prior to trading the Company’s securities other than pursuant to a 10b5-1 Plan or a non-Rule 10b5-1 Trading Arrangement, must obtain pre-approval from the Company’s Compliance Officer (or in the case of the Compliance Officer, by the Company’s Chief Financial Officer) by: (a) providing written notification of the amount and nature of the proposed trade, (b) certifying no earlier than two business days prior to the proposed trade that such Section 16 Insider or Designated Insider has no material nonpublic information about the Company and, to such Section 16 Insider’s or Designated Insider’s knowledge, such Section 16 Insider or Designed Insider will have no material nonpublic information about the Company as of the proposed trade date, and (c) receiving email confirmation from the Company’s Compliance Officer approving the trade, which approval can be granted or denied at his or her discretion. A Section 16 Insider or Designated Insider may satisfy (a) and (b) by emailing the required information and certification to the Company’s Compliance Officer (or in the case of the Compliance Officer, to the Company’s Chief Financial Officer) and must notify the Compliance Officer (or in the case of the Compliance Officer, the Company’s Chief Financial Officer) promptly via email of any changes to the certification in (b) prior to the proposed trade.</w:t>
      </w:r>
    </w:p>
    <w:p>
      <w:pPr>
        <w:pStyle w:val="TextBody"/>
        <w:bidi w:val="0"/>
        <w:spacing w:lineRule="auto" w:line="333" w:before="0" w:after="240"/>
        <w:ind w:left="0" w:right="0" w:hanging="720"/>
        <w:jc w:val="both"/>
        <w:rPr/>
      </w:pPr>
      <w:r>
        <w:rPr>
          <w:rFonts w:ascii="Arial;sans-serif" w:hAnsi="Arial;sans-serif"/>
          <w:b w:val="false"/>
          <w:color w:val="000000"/>
          <w:sz w:val="22"/>
        </w:rPr>
        <w:t>C.    </w:t>
      </w:r>
      <w:r>
        <w:rPr>
          <w:rFonts w:ascii="Arial;sans-serif" w:hAnsi="Arial;sans-serif"/>
          <w:b/>
          <w:color w:val="000000"/>
          <w:sz w:val="22"/>
        </w:rPr>
        <w:t>Trading Windows and Blackout Periods</w:t>
      </w:r>
    </w:p>
    <w:p>
      <w:pPr>
        <w:pStyle w:val="TextBody"/>
        <w:bidi w:val="0"/>
        <w:spacing w:lineRule="auto" w:line="333" w:before="0" w:after="240"/>
        <w:ind w:left="0" w:right="0" w:hanging="720"/>
        <w:jc w:val="both"/>
        <w:rPr/>
      </w:pPr>
      <w:r>
        <w:rPr>
          <w:rFonts w:ascii="Arial;sans-serif" w:hAnsi="Arial;sans-serif"/>
          <w:b w:val="false"/>
          <w:color w:val="000000"/>
          <w:sz w:val="22"/>
        </w:rPr>
        <w:t>1.    </w:t>
      </w:r>
      <w:r>
        <w:rPr>
          <w:rFonts w:ascii="Arial;sans-serif" w:hAnsi="Arial;sans-serif"/>
          <w:b/>
          <w:color w:val="000000"/>
          <w:sz w:val="22"/>
        </w:rPr>
        <w:t>Trading Windows.</w:t>
      </w:r>
      <w:r>
        <w:rPr>
          <w:color w:val="000000"/>
        </w:rPr>
        <w:t xml:space="preserve"> </w:t>
      </w:r>
      <w:r>
        <w:rPr>
          <w:rFonts w:ascii="Arial;sans-serif" w:hAnsi="Arial;sans-serif"/>
          <w:b w:val="false"/>
          <w:color w:val="000000"/>
          <w:sz w:val="22"/>
        </w:rPr>
        <w:t xml:space="preserve">After obtaining trading approval from the Compliance Officer in accordance with the procedures set forth in Section VI.D below, Insiders may trade in Company securities only during the period </w:t>
      </w:r>
      <w:r>
        <w:rPr>
          <w:rFonts w:ascii="Arial;sans-serif" w:hAnsi="Arial;sans-serif"/>
          <w:b/>
          <w:color w:val="000000"/>
          <w:sz w:val="22"/>
          <w:u w:val="single"/>
        </w:rPr>
        <w:t>beginning</w:t>
      </w:r>
      <w:r>
        <w:rPr>
          <w:color w:val="000000"/>
        </w:rPr>
        <w:t xml:space="preserve"> </w:t>
      </w:r>
      <w:r>
        <w:rPr>
          <w:rFonts w:ascii="Arial;sans-serif" w:hAnsi="Arial;sans-serif"/>
          <w:b/>
          <w:color w:val="000000"/>
          <w:sz w:val="22"/>
        </w:rPr>
        <w:t xml:space="preserve">at the opening of trading on the second business day following the Company’s widespread public release of quarterly or year-end </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8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8 of 14    </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240"/>
        <w:jc w:val="both"/>
        <w:rPr/>
      </w:pPr>
      <w:r>
        <w:rPr>
          <w:rFonts w:ascii="Arial;sans-serif" w:hAnsi="Arial;sans-serif"/>
          <w:b/>
          <w:color w:val="000000"/>
          <w:sz w:val="22"/>
        </w:rPr>
        <w:t xml:space="preserve">operating results, and </w:t>
      </w:r>
      <w:r>
        <w:rPr>
          <w:rFonts w:ascii="Arial;sans-serif" w:hAnsi="Arial;sans-serif"/>
          <w:b/>
          <w:color w:val="000000"/>
          <w:sz w:val="22"/>
          <w:u w:val="single"/>
        </w:rPr>
        <w:t>ending at the closing of trading on the fifteenth calendar day following the end of the next succeeding fiscal quarter</w:t>
      </w:r>
      <w:r>
        <w:rPr>
          <w:color w:val="000000"/>
        </w:rPr>
        <w:t xml:space="preserve"> </w:t>
      </w:r>
      <w:r>
        <w:rPr>
          <w:rFonts w:ascii="Arial;sans-serif" w:hAnsi="Arial;sans-serif"/>
          <w:b/>
          <w:color w:val="000000"/>
          <w:sz w:val="22"/>
        </w:rPr>
        <w:t>(or the next trading day if such day does not fall on a trading day) (the “Trading Window”), as long as they are not in possession of material nonpublic information about the Company or subject to any special trading blackout; provided that the Compliance Officer may allow the Trading Window to be open early if the Company has publicly released key applicable financial results and any other material nonpublic information prior to the release of a full period operating results</w:t>
      </w:r>
      <w:r>
        <w:rPr>
          <w:rFonts w:ascii="Arial;sans-serif" w:hAnsi="Arial;sans-serif"/>
          <w:b w:val="false"/>
          <w:color w:val="000000"/>
          <w:sz w:val="22"/>
        </w:rPr>
        <w:t>.</w:t>
      </w:r>
    </w:p>
    <w:p>
      <w:pPr>
        <w:pStyle w:val="TextBody"/>
        <w:bidi w:val="0"/>
        <w:spacing w:lineRule="auto" w:line="333" w:before="0" w:after="240"/>
        <w:ind w:left="0" w:right="0" w:hanging="720"/>
        <w:jc w:val="both"/>
        <w:rPr/>
      </w:pPr>
      <w:r>
        <w:rPr>
          <w:rFonts w:ascii="Arial;sans-serif" w:hAnsi="Arial;sans-serif"/>
          <w:b w:val="false"/>
          <w:color w:val="000000"/>
          <w:sz w:val="22"/>
        </w:rPr>
        <w:t>2.    </w:t>
      </w:r>
      <w:r>
        <w:rPr>
          <w:rFonts w:ascii="Arial;sans-serif" w:hAnsi="Arial;sans-serif"/>
          <w:b/>
          <w:color w:val="000000"/>
          <w:sz w:val="22"/>
        </w:rPr>
        <w:t xml:space="preserve">No Trading During Trading Windows While in the Possession of Material Nonpublic Information. </w:t>
      </w:r>
      <w:r>
        <w:rPr>
          <w:rFonts w:ascii="Arial;sans-serif" w:hAnsi="Arial;sans-serif"/>
          <w:b w:val="false"/>
          <w:color w:val="000000"/>
          <w:sz w:val="22"/>
        </w:rPr>
        <w:t>No Insider possessing material nonpublic information concerning the Company may trade in Company securities even during open trading windows. Persons possessing such information may trade during a trading window only after the opening of trading on the second full trading day following the Company’s widespread public release of the information.</w:t>
      </w:r>
    </w:p>
    <w:p>
      <w:pPr>
        <w:pStyle w:val="TextBody"/>
        <w:bidi w:val="0"/>
        <w:spacing w:lineRule="auto" w:line="333" w:before="0" w:after="240"/>
        <w:ind w:left="0" w:right="0" w:hanging="720"/>
        <w:jc w:val="both"/>
        <w:rPr/>
      </w:pPr>
      <w:r>
        <w:rPr>
          <w:rFonts w:ascii="Arial;sans-serif" w:hAnsi="Arial;sans-serif"/>
          <w:b w:val="false"/>
          <w:color w:val="000000"/>
          <w:sz w:val="22"/>
        </w:rPr>
        <w:t>3.    </w:t>
      </w:r>
      <w:r>
        <w:rPr>
          <w:rFonts w:ascii="Arial;sans-serif" w:hAnsi="Arial;sans-serif"/>
          <w:b/>
          <w:color w:val="000000"/>
          <w:sz w:val="22"/>
        </w:rPr>
        <w:t>No Trading During Blackout Periods.</w:t>
      </w:r>
      <w:r>
        <w:rPr>
          <w:color w:val="000000"/>
        </w:rPr>
        <w:t xml:space="preserve"> </w:t>
      </w:r>
      <w:r>
        <w:rPr>
          <w:rFonts w:ascii="Arial;sans-serif" w:hAnsi="Arial;sans-serif"/>
          <w:b w:val="false"/>
          <w:color w:val="000000"/>
          <w:sz w:val="22"/>
        </w:rPr>
        <w:t>The Compliance Officer may designate special trading blackout restrictions (each, a “</w:t>
      </w:r>
      <w:r>
        <w:rPr>
          <w:rFonts w:ascii="Arial;sans-serif" w:hAnsi="Arial;sans-serif"/>
          <w:b/>
          <w:color w:val="000000"/>
          <w:sz w:val="22"/>
        </w:rPr>
        <w:t>Blackout Period</w:t>
      </w:r>
      <w:r>
        <w:rPr>
          <w:color w:val="000000"/>
        </w:rPr>
        <w:t>”</w:t>
      </w:r>
      <w:r>
        <w:rPr>
          <w:rFonts w:ascii="Arial;sans-serif" w:hAnsi="Arial;sans-serif"/>
          <w:b w:val="false"/>
          <w:color w:val="000000"/>
          <w:sz w:val="22"/>
        </w:rPr>
        <w:t>) that apply to particular individuals or groups of persons for such time as is determined by the Compliance Officer. No Insider subject to a Blackout Period may trade in Company securities outside of the applicable trading windows or during any Blackout Periods that the Compliance Officer may designate. No Insider subject to a Blackout Period may disclose to any outside third party that a Blackout Period has been designated.</w:t>
      </w:r>
    </w:p>
    <w:p>
      <w:pPr>
        <w:pStyle w:val="TextBody"/>
        <w:bidi w:val="0"/>
        <w:spacing w:lineRule="auto" w:line="333" w:before="0" w:after="240"/>
        <w:ind w:left="0" w:right="0" w:hanging="720"/>
        <w:jc w:val="both"/>
        <w:rPr/>
      </w:pPr>
      <w:r>
        <w:rPr>
          <w:rFonts w:ascii="Arial;sans-serif" w:hAnsi="Arial;sans-serif"/>
          <w:b w:val="false"/>
          <w:color w:val="000000"/>
          <w:sz w:val="22"/>
        </w:rPr>
        <w:t>D.    </w:t>
      </w:r>
      <w:r>
        <w:rPr>
          <w:rFonts w:ascii="Arial;sans-serif" w:hAnsi="Arial;sans-serif"/>
          <w:b/>
          <w:color w:val="000000"/>
          <w:sz w:val="22"/>
        </w:rPr>
        <w:t>Procedures for Approving Trades</w:t>
      </w:r>
    </w:p>
    <w:p>
      <w:pPr>
        <w:pStyle w:val="TextBody"/>
        <w:bidi w:val="0"/>
        <w:spacing w:lineRule="auto" w:line="333" w:before="0" w:after="240"/>
        <w:ind w:left="0" w:right="0" w:hanging="720"/>
        <w:jc w:val="both"/>
        <w:rPr/>
      </w:pPr>
      <w:r>
        <w:rPr>
          <w:rFonts w:ascii="Arial;sans-serif" w:hAnsi="Arial;sans-serif"/>
          <w:b w:val="false"/>
          <w:color w:val="000000"/>
          <w:sz w:val="22"/>
        </w:rPr>
        <w:t>1.    </w:t>
      </w:r>
      <w:r>
        <w:rPr>
          <w:rFonts w:ascii="Arial;sans-serif" w:hAnsi="Arial;sans-serif"/>
          <w:b/>
          <w:color w:val="000000"/>
          <w:sz w:val="22"/>
        </w:rPr>
        <w:t>Section 16 Insiders</w:t>
      </w:r>
      <w:r>
        <w:rPr>
          <w:color w:val="000000"/>
        </w:rPr>
        <w:t xml:space="preserve"> </w:t>
      </w:r>
      <w:r>
        <w:rPr>
          <w:rFonts w:ascii="Arial;sans-serif" w:hAnsi="Arial;sans-serif"/>
          <w:b/>
          <w:color w:val="000000"/>
          <w:sz w:val="22"/>
        </w:rPr>
        <w:t>and Designated Insiders.</w:t>
      </w:r>
      <w:r>
        <w:rPr>
          <w:color w:val="000000"/>
        </w:rPr>
        <w:t xml:space="preserve"> </w:t>
      </w:r>
      <w:r>
        <w:rPr>
          <w:rFonts w:ascii="Arial;sans-serif" w:hAnsi="Arial;sans-serif"/>
          <w:b w:val="false"/>
          <w:color w:val="000000"/>
          <w:sz w:val="22"/>
        </w:rPr>
        <w:t>No Section 16 Insider or Designated Insider may trade in Company securities, until:</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a.    The person trading has notified the Compliance Officer (or in the case of the Compliance Officer, the Company’s Chief Financial Officer) in writing of the amount and nature of the proposed trade(s) (see form attached hereto);</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b.    The person trading has certified to the Compliance Officer (or in the case of the Compliance Officer, to the Company’s Chief Financial Officer) in writing (see form attached hereto) no earlier than two business days prior to the proposed trade(s) that:</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9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9 of 14    </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(i)    such person is not in possession of material nonpublic information about the Company, and</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(ii)    the proposed trade(s) do not violate the trading restrictions of Section 16 of the Exchange Act, Rule 144 of the Securities Act (if applicable) or any other securities laws, and</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c.    The Compliance Officer (or in the case of the Compliance Officer, the Company’s Chief Financial Officer) has approved the trade(s) and has certified such approval in writing, except as provided in paragraph 2 of this subsection.</w:t>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For the purposes of this Section VI.D, notification or certification in writing shall include such notification or certification via a digitally- signed e-mail.</w:t>
      </w:r>
    </w:p>
    <w:p>
      <w:pPr>
        <w:pStyle w:val="TextBody"/>
        <w:bidi w:val="0"/>
        <w:spacing w:lineRule="auto" w:line="333" w:before="0" w:after="240"/>
        <w:ind w:left="0" w:right="0" w:hanging="720"/>
        <w:jc w:val="both"/>
        <w:rPr/>
      </w:pPr>
      <w:r>
        <w:rPr>
          <w:rFonts w:ascii="Arial;sans-serif" w:hAnsi="Arial;sans-serif"/>
          <w:b w:val="false"/>
          <w:color w:val="000000"/>
          <w:sz w:val="22"/>
        </w:rPr>
        <w:t>2.    </w:t>
      </w:r>
      <w:r>
        <w:rPr>
          <w:rFonts w:ascii="Arial;sans-serif" w:hAnsi="Arial;sans-serif"/>
          <w:b/>
          <w:color w:val="000000"/>
          <w:sz w:val="22"/>
        </w:rPr>
        <w:t xml:space="preserve">Rule 10b5-1 Plans. </w:t>
      </w:r>
      <w:r>
        <w:rPr>
          <w:rFonts w:ascii="Arial;sans-serif" w:hAnsi="Arial;sans-serif"/>
          <w:b w:val="false"/>
          <w:color w:val="000000"/>
          <w:sz w:val="22"/>
        </w:rPr>
        <w:t>No trades shall be treated as having been made pursuant to a Rule 10b5-1 Plan under this policy unless:</w:t>
      </w:r>
    </w:p>
    <w:p>
      <w:pPr>
        <w:pStyle w:val="TextBody"/>
        <w:bidi w:val="0"/>
        <w:spacing w:lineRule="auto" w:line="333" w:before="240" w:after="240"/>
        <w:ind w:left="0" w:right="0" w:hanging="720"/>
        <w:jc w:val="both"/>
        <w:rPr>
          <w:rFonts w:ascii="Arial;sans-serif" w:hAnsi="Arial;sans-serif"/>
          <w:b w:val="false"/>
          <w:color w:val="000000"/>
          <w:sz w:val="22"/>
        </w:rPr>
      </w:pPr>
      <w:r>
        <w:rPr>
          <w:rFonts w:ascii="Arial;sans-serif" w:hAnsi="Arial;sans-serif"/>
          <w:b w:val="false"/>
          <w:color w:val="000000"/>
          <w:sz w:val="22"/>
        </w:rPr>
        <w:t>a.    The Rule 10b5-1 Plan complies with the requirements of Rule 10b5-1;</w:t>
      </w:r>
    </w:p>
    <w:p>
      <w:pPr>
        <w:pStyle w:val="TextBody"/>
        <w:bidi w:val="0"/>
        <w:spacing w:lineRule="auto" w:line="333" w:before="240" w:after="283"/>
        <w:ind w:left="0" w:right="0" w:hanging="720"/>
        <w:jc w:val="both"/>
        <w:rPr>
          <w:rFonts w:ascii="Arial;sans-serif" w:hAnsi="Arial;sans-serif"/>
          <w:b w:val="false"/>
          <w:color w:val="000000"/>
          <w:sz w:val="22"/>
        </w:rPr>
      </w:pPr>
      <w:r>
        <w:rPr>
          <w:rFonts w:ascii="Arial;sans-serif" w:hAnsi="Arial;sans-serif"/>
          <w:b w:val="false"/>
          <w:color w:val="000000"/>
          <w:sz w:val="22"/>
        </w:rPr>
        <w:t>b.    The Rule 10b5-1 Plan is entered into during an open Trading Window (as described above in Section VI.C.1 or 2) and not during any Blackout Period (as described above in Section VI.C.3);</w:t>
      </w:r>
    </w:p>
    <w:p>
      <w:pPr>
        <w:pStyle w:val="TextBody"/>
        <w:bidi w:val="0"/>
        <w:spacing w:lineRule="auto" w:line="333" w:before="240" w:after="283"/>
        <w:ind w:left="0" w:right="0" w:hanging="720"/>
        <w:jc w:val="both"/>
        <w:rPr/>
      </w:pPr>
      <w:r>
        <w:rPr>
          <w:rFonts w:ascii="Arial;sans-serif" w:hAnsi="Arial;sans-serif"/>
          <w:b w:val="false"/>
          <w:color w:val="000000"/>
          <w:sz w:val="22"/>
        </w:rPr>
        <w:t>c.    The first trade under the Rule 10b5-1 Plan does not occur (i) for a Section 16 Insider: until the later of (A) ninety (90) days after adoption of the 10b5-1 Plan and (B) two (2) business days following the disclosure of the Company’s financial results in a Form 10-Q or Form 10-K for the completed fiscal quarter in which the 10b5-1 Plan was adopted that discloses the Company’s financial results (but not to exceed 120 days following the adoption of the 10b5-1 Plan); and (ii) for persons other than Section 16 Insiders: thirty (30) days after adoption of the 10b5-1 Plan, in each case, following the Company’s Compliance Officer’s (or in the case of the Compliance Officer, the Company’s Chief Financial Officer’s) approval of the 10b5-1 Plan. These waiting periods are collectively referred to as the “</w:t>
      </w:r>
      <w:r>
        <w:rPr>
          <w:rFonts w:ascii="Arial;sans-serif" w:hAnsi="Arial;sans-serif"/>
          <w:b/>
          <w:color w:val="000000"/>
          <w:sz w:val="22"/>
        </w:rPr>
        <w:t>Cooling-Off Period</w:t>
      </w:r>
      <w:r>
        <w:rPr>
          <w:rFonts w:ascii="Arial;sans-serif" w:hAnsi="Arial;sans-serif"/>
          <w:b w:val="false"/>
          <w:color w:val="000000"/>
          <w:sz w:val="22"/>
        </w:rPr>
        <w:t>.”;</w:t>
      </w:r>
    </w:p>
    <w:p>
      <w:pPr>
        <w:pStyle w:val="TextBody"/>
        <w:bidi w:val="0"/>
        <w:spacing w:lineRule="auto" w:line="333" w:before="240" w:after="240"/>
        <w:ind w:left="0" w:right="0" w:hanging="720"/>
        <w:jc w:val="both"/>
        <w:rPr>
          <w:rFonts w:ascii="Arial;sans-serif" w:hAnsi="Arial;sans-serif"/>
          <w:b w:val="false"/>
          <w:color w:val="000000"/>
          <w:sz w:val="22"/>
        </w:rPr>
      </w:pPr>
      <w:r>
        <w:rPr>
          <w:rFonts w:ascii="Arial;sans-serif" w:hAnsi="Arial;sans-serif"/>
          <w:b w:val="false"/>
          <w:color w:val="000000"/>
          <w:sz w:val="22"/>
        </w:rPr>
        <w:t>d.    The person establishing the Rule 10b5-1 Plan has certified to the Compliance Officer (or in the case of the Compliance Officer, to the Company’s Chief Financial Officer) in writing no earlier than two business days prior to the date that the Rule 10b5-1 Plan is formally established, that:</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10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10 of 14    </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 xml:space="preserve">(i)    Such person is not in possession of material nonpublic information about the Company and all such trades to be made pursuant to the Rule 10b5-1 Plan will be made in accordance with Section 16 of the Exchange Act and Rule 144 of the Securities Act to the extent such Sections are applicable; </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(ii)    Such person is adopting the 10b5-1 Plan in good faith and not as part of a plan or scheme to evade the prohibitions of Section 10(b) of the Exchange Act and Rule 10b-5 of the Exchange Act;</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 xml:space="preserve">(iii)    Such person will act in good faith with respect to the 10b5-1 Plan throughout its duration; and </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(iv)    The Rule 10b5-1 Plan complies with the requirements of Rule 10b5-1.</w:t>
      </w:r>
    </w:p>
    <w:p>
      <w:pPr>
        <w:pStyle w:val="TextBody"/>
        <w:bidi w:val="0"/>
        <w:spacing w:lineRule="auto" w:line="333"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The person establishing the Rule 10b5-1 Plan must notify the Compliance Officer (or in the case of the Compliance Officer, the Company’s Chief Financial Officer) promptly via email and withdraw the certification if any changes of circumstances prior to the adoption date of the 10b5-1 Plan have or will render such certification to be inaccurate as of that time.</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e.    The 10b5-1 Plan is not a single-trade 10b5-1 Plan adopted during the 12-month period immediately following the person’s adoption of another single-trade 10b5-1 Plan, subject to the exceptions noted in Rule 10b5-1.</w:t>
      </w:r>
    </w:p>
    <w:p>
      <w:pPr>
        <w:pStyle w:val="TextBody"/>
        <w:bidi w:val="0"/>
        <w:spacing w:lineRule="auto" w:line="333" w:before="0" w:after="240"/>
        <w:ind w:left="0" w:right="0" w:hanging="720"/>
        <w:jc w:val="both"/>
        <w:rPr/>
      </w:pPr>
      <w:r>
        <w:rPr>
          <w:rFonts w:ascii="Arial;sans-serif" w:hAnsi="Arial;sans-serif"/>
          <w:b w:val="false"/>
          <w:color w:val="000000"/>
          <w:sz w:val="22"/>
        </w:rPr>
        <w:t>f.    A person may have no more than one 10b5-1 Plan adopted at any point in time (</w:t>
      </w:r>
      <w:r>
        <w:rPr>
          <w:rFonts w:ascii="Arial;sans-serif" w:hAnsi="Arial;sans-serif"/>
          <w:b w:val="false"/>
          <w:i/>
          <w:color w:val="000000"/>
          <w:sz w:val="22"/>
        </w:rPr>
        <w:t>i.e.</w:t>
      </w:r>
      <w:r>
        <w:rPr>
          <w:rFonts w:ascii="Arial;sans-serif" w:hAnsi="Arial;sans-serif"/>
          <w:b w:val="false"/>
          <w:color w:val="000000"/>
          <w:sz w:val="22"/>
        </w:rPr>
        <w:t>, multiple concurrent or overlapping plans are prohibited), subject to the exceptions noted in Rule 10b5-1, which are provided in Exhibit B. One of these exceptions is for plans authorizing certain “sell-to-cover” transactions.</w:t>
      </w:r>
    </w:p>
    <w:p>
      <w:pPr>
        <w:pStyle w:val="TextBody"/>
        <w:bidi w:val="0"/>
        <w:spacing w:lineRule="auto" w:line="333" w:before="0" w:after="240"/>
        <w:ind w:left="0" w:right="0" w:hanging="720"/>
        <w:jc w:val="both"/>
        <w:rPr/>
      </w:pPr>
      <w:r>
        <w:rPr>
          <w:rFonts w:ascii="Arial;sans-serif" w:hAnsi="Arial;sans-serif"/>
          <w:b w:val="false"/>
          <w:color w:val="000000"/>
          <w:sz w:val="22"/>
        </w:rPr>
        <w:t>g.    Modifying or changing the amount, price, or timing of the purchase or sale of the Company’s securities underlying the 10b5-1 Plan (or a modification or change to a written formula or algorithm, or computer program that affects the amount, price, or timing of the purchase or sale of such securities) (any such modification or change, a “</w:t>
      </w:r>
      <w:r>
        <w:rPr>
          <w:rFonts w:ascii="Arial;sans-serif" w:hAnsi="Arial;sans-serif"/>
          <w:b/>
          <w:color w:val="000000"/>
          <w:sz w:val="22"/>
        </w:rPr>
        <w:t>Plan Modification</w:t>
      </w:r>
      <w:r>
        <w:rPr>
          <w:color w:val="000000"/>
        </w:rPr>
        <w:t>”</w:t>
      </w:r>
      <w:r>
        <w:rPr>
          <w:rFonts w:ascii="Arial;sans-serif" w:hAnsi="Arial;sans-serif"/>
          <w:b w:val="false"/>
          <w:color w:val="000000"/>
          <w:sz w:val="22"/>
        </w:rPr>
        <w:t xml:space="preserve">) will be deemed to be the same as terminating an existing 10b5-1 Plan and entering into a new 10b5-1 Plan. In order to effect a Plan Modification or any other amendment to an existing </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11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11 of 14    </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Rule 10b5-1 Plan, the person amending such plan must satisfy all of the conditions set forth in Section VI.D.2.a-f with respect to such Plan Modification. The Company discourages any person establishing a Rule 10b5-1 Plan from making multiple Plan Modifications, as that may give the appearance that such person is trading on material nonpublic information about the company under the guise of that plan.</w:t>
      </w:r>
    </w:p>
    <w:p>
      <w:pPr>
        <w:pStyle w:val="TextBody"/>
        <w:bidi w:val="0"/>
        <w:spacing w:lineRule="auto" w:line="333" w:before="0" w:after="240"/>
        <w:ind w:left="0" w:right="0" w:hanging="720"/>
        <w:jc w:val="both"/>
        <w:rPr/>
      </w:pPr>
      <w:r>
        <w:rPr>
          <w:rFonts w:ascii="Arial;sans-serif" w:hAnsi="Arial;sans-serif"/>
          <w:b w:val="false"/>
          <w:color w:val="000000"/>
          <w:sz w:val="22"/>
        </w:rPr>
        <w:t>3.    </w:t>
      </w:r>
      <w:r>
        <w:rPr>
          <w:rFonts w:ascii="Arial;sans-serif" w:hAnsi="Arial;sans-serif"/>
          <w:b/>
          <w:color w:val="000000"/>
          <w:sz w:val="22"/>
        </w:rPr>
        <w:t>No Obligation to Approve Trades.</w:t>
      </w:r>
      <w:r>
        <w:rPr>
          <w:color w:val="000000"/>
        </w:rPr>
        <w:t xml:space="preserve"> </w:t>
      </w:r>
      <w:r>
        <w:rPr>
          <w:rFonts w:ascii="Arial;sans-serif" w:hAnsi="Arial;sans-serif"/>
          <w:b w:val="false"/>
          <w:color w:val="000000"/>
          <w:sz w:val="22"/>
        </w:rPr>
        <w:t>The existence of the foregoing approval procedures does not in any way obligate the Compliance Officer (or in the case of the Compliance Officer, the Company’s Chief Financial Officer) to approve any trades requested by Section 16 Insiders or Designated Insiders or to approve any Rule 10b5-1 Plan. The Compliance Officer (or in the case of the Compliance Officer, the Company’s Chief Financial Officer) may reject any trading requests or Rule 10b5-1 Plans at his or her sole reasonable discretion.</w:t>
      </w:r>
    </w:p>
    <w:p>
      <w:pPr>
        <w:pStyle w:val="TextBody"/>
        <w:bidi w:val="0"/>
        <w:spacing w:lineRule="auto" w:line="333" w:before="0" w:after="240"/>
        <w:ind w:left="0" w:right="0" w:hanging="720"/>
        <w:jc w:val="both"/>
        <w:rPr>
          <w:rFonts w:ascii="Arial;sans-serif" w:hAnsi="Arial;sans-serif"/>
          <w:b w:val="false"/>
          <w:color w:val="000000"/>
          <w:sz w:val="22"/>
        </w:rPr>
      </w:pPr>
      <w:r>
        <w:rPr>
          <w:rFonts w:ascii="Arial;sans-serif" w:hAnsi="Arial;sans-serif"/>
          <w:b w:val="false"/>
          <w:color w:val="000000"/>
          <w:sz w:val="22"/>
        </w:rPr>
        <w:t>4.    Approval of a 10b5-1 Plan by the Company’s Compliance Officer (or in the case of the Compliance Officer, by the Company’s Chief Financial Officer) and/or an acknowledgment of a 10b5-1 Plan by the Company shall not be considered a determination by the Company, the Company’s Compliance Officer (or in the case of the Compliance Officer, the Company’s Chief Financial Officer), or the Company that the 10b5-1 Plan satisfies the requirements of Rule 10b5-1 or that the Insider does not have material nonpublic information.</w:t>
      </w:r>
    </w:p>
    <w:p>
      <w:pPr>
        <w:pStyle w:val="TextBody"/>
        <w:bidi w:val="0"/>
        <w:spacing w:lineRule="auto" w:line="333" w:before="0" w:after="240"/>
        <w:ind w:left="0" w:right="0" w:hanging="720"/>
        <w:jc w:val="both"/>
        <w:rPr/>
      </w:pPr>
      <w:r>
        <w:rPr>
          <w:rFonts w:ascii="Arial;sans-serif" w:hAnsi="Arial;sans-serif"/>
          <w:b w:val="false"/>
          <w:color w:val="000000"/>
          <w:sz w:val="22"/>
        </w:rPr>
        <w:t>E.    </w:t>
      </w:r>
      <w:r>
        <w:rPr>
          <w:rFonts w:ascii="Arial;sans-serif" w:hAnsi="Arial;sans-serif"/>
          <w:b/>
          <w:color w:val="000000"/>
          <w:sz w:val="22"/>
        </w:rPr>
        <w:t>Other Trading Arrangements</w:t>
      </w:r>
    </w:p>
    <w:p>
      <w:pPr>
        <w:pStyle w:val="TextBody"/>
        <w:bidi w:val="0"/>
        <w:spacing w:lineRule="auto" w:line="333"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Insiders may also enter into a “non-Rule 10b5-1 Trading Arrangement” (as defined in Regulation S-K Item 408(c)). The approval process for a non-Rule 10b5-1 Trading Arrangement will be subject to the same approval process as a 10b5-1 Plan except the Cooling-Off Period shall not apply.</w:t>
      </w:r>
    </w:p>
    <w:p>
      <w:pPr>
        <w:pStyle w:val="TextBody"/>
        <w:bidi w:val="0"/>
        <w:spacing w:lineRule="auto" w:line="333" w:before="0" w:after="240"/>
        <w:ind w:left="0" w:right="0" w:hanging="720"/>
        <w:jc w:val="both"/>
        <w:rPr/>
      </w:pPr>
      <w:r>
        <w:rPr>
          <w:rFonts w:ascii="Arial;sans-serif" w:hAnsi="Arial;sans-serif"/>
          <w:b w:val="false"/>
          <w:color w:val="000000"/>
          <w:sz w:val="22"/>
        </w:rPr>
        <w:t>F.    </w:t>
      </w:r>
      <w:r>
        <w:rPr>
          <w:rFonts w:ascii="Arial;sans-serif" w:hAnsi="Arial;sans-serif"/>
          <w:b/>
          <w:color w:val="000000"/>
          <w:sz w:val="22"/>
        </w:rPr>
        <w:t>Employee Stock Purchase and Equity Incentive Plans</w:t>
      </w:r>
    </w:p>
    <w:p>
      <w:pPr>
        <w:pStyle w:val="TextBody"/>
        <w:bidi w:val="0"/>
        <w:spacing w:lineRule="auto" w:line="333" w:before="0" w:after="240"/>
        <w:ind w:left="0" w:right="0" w:hanging="720"/>
        <w:jc w:val="both"/>
        <w:rPr/>
      </w:pPr>
      <w:r>
        <w:rPr>
          <w:rFonts w:ascii="Arial;sans-serif" w:hAnsi="Arial;sans-serif"/>
          <w:b w:val="false"/>
          <w:color w:val="000000"/>
          <w:sz w:val="22"/>
        </w:rPr>
        <w:t>1.    </w:t>
      </w:r>
      <w:r>
        <w:rPr>
          <w:rFonts w:ascii="Arial;sans-serif" w:hAnsi="Arial;sans-serif"/>
          <w:b/>
          <w:color w:val="000000"/>
          <w:sz w:val="22"/>
        </w:rPr>
        <w:t>Employee Stock Purchase Plan.</w:t>
      </w:r>
      <w:r>
        <w:rPr>
          <w:color w:val="000000"/>
        </w:rPr>
        <w:t xml:space="preserve"> </w:t>
      </w:r>
      <w:r>
        <w:rPr>
          <w:rFonts w:ascii="Arial;sans-serif" w:hAnsi="Arial;sans-serif"/>
          <w:b w:val="false"/>
          <w:color w:val="000000"/>
          <w:sz w:val="22"/>
        </w:rPr>
        <w:t xml:space="preserve">The trading prohibitions and restrictions set forth in this policy do not apply to periodic wage withholding contributions by the Company or employees to the Company’s Employee Stock Purchase Plan that is used to purchase Company securities pursuant to the employees’ advance instructions. However, no officers or employees may alter their instructions regarding the level of withholding or purchase by the officer or employee of Company securities under such plan while in the possession of material nonpublic information. Any sale of securities </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12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12 of 14    </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acquired under such plan is subject to the prohibitions and restrictions of this policy.</w:t>
      </w:r>
    </w:p>
    <w:p>
      <w:pPr>
        <w:pStyle w:val="TextBody"/>
        <w:bidi w:val="0"/>
        <w:spacing w:lineRule="auto" w:line="333" w:before="0" w:after="240"/>
        <w:ind w:left="0" w:right="0" w:hanging="720"/>
        <w:jc w:val="both"/>
        <w:rPr/>
      </w:pPr>
      <w:r>
        <w:rPr>
          <w:rFonts w:ascii="Arial;sans-serif" w:hAnsi="Arial;sans-serif"/>
          <w:b w:val="false"/>
          <w:color w:val="000000"/>
          <w:sz w:val="22"/>
        </w:rPr>
        <w:t>2.    </w:t>
      </w:r>
      <w:r>
        <w:rPr>
          <w:rFonts w:ascii="Arial;sans-serif" w:hAnsi="Arial;sans-serif"/>
          <w:b/>
          <w:color w:val="000000"/>
          <w:sz w:val="22"/>
        </w:rPr>
        <w:t>Equity Plans</w:t>
      </w:r>
      <w:r>
        <w:rPr>
          <w:rFonts w:ascii="Arial;sans-serif" w:hAnsi="Arial;sans-serif"/>
          <w:b w:val="false"/>
          <w:i/>
          <w:color w:val="000000"/>
          <w:sz w:val="22"/>
        </w:rPr>
        <w:t xml:space="preserve">. </w:t>
      </w:r>
    </w:p>
    <w:p>
      <w:pPr>
        <w:pStyle w:val="TextBody"/>
        <w:bidi w:val="0"/>
        <w:spacing w:lineRule="auto" w:line="333" w:before="0" w:after="240"/>
        <w:ind w:left="0" w:right="0" w:hanging="720"/>
        <w:jc w:val="both"/>
        <w:rPr/>
      </w:pPr>
      <w:r>
        <w:rPr>
          <w:rFonts w:ascii="Arial;sans-serif" w:hAnsi="Arial;sans-serif"/>
          <w:b w:val="false"/>
          <w:color w:val="000000"/>
          <w:sz w:val="22"/>
        </w:rPr>
        <w:t>a.    </w:t>
      </w:r>
      <w:r>
        <w:rPr>
          <w:rFonts w:ascii="Arial;sans-serif" w:hAnsi="Arial;sans-serif"/>
          <w:b/>
          <w:color w:val="000000"/>
          <w:sz w:val="22"/>
        </w:rPr>
        <w:t>Stock Options.</w:t>
      </w:r>
      <w:r>
        <w:rPr>
          <w:color w:val="000000"/>
        </w:rPr>
        <w:t xml:space="preserve"> </w:t>
      </w:r>
      <w:r>
        <w:rPr>
          <w:rFonts w:ascii="Arial;sans-serif" w:hAnsi="Arial;sans-serif"/>
          <w:b w:val="false"/>
          <w:color w:val="000000"/>
          <w:sz w:val="22"/>
        </w:rPr>
        <w:t>The trading prohibitions and restrictions of this policy apply to all sales of securities acquired upon the exercise of options to purchase Company stock, but not to the acquisition of Company stock by such exercise.</w:t>
      </w:r>
    </w:p>
    <w:p>
      <w:pPr>
        <w:pStyle w:val="TextBody"/>
        <w:bidi w:val="0"/>
        <w:spacing w:lineRule="auto" w:line="333" w:before="0" w:after="240"/>
        <w:ind w:left="0" w:right="0" w:hanging="720"/>
        <w:jc w:val="both"/>
        <w:rPr/>
      </w:pPr>
      <w:r>
        <w:rPr>
          <w:rFonts w:ascii="Arial;sans-serif" w:hAnsi="Arial;sans-serif"/>
          <w:b w:val="false"/>
          <w:color w:val="000000"/>
          <w:sz w:val="22"/>
        </w:rPr>
        <w:t>b.    </w:t>
      </w:r>
      <w:r>
        <w:rPr>
          <w:rFonts w:ascii="Arial;sans-serif" w:hAnsi="Arial;sans-serif"/>
          <w:b/>
          <w:color w:val="000000"/>
          <w:sz w:val="22"/>
        </w:rPr>
        <w:t>RSUs</w:t>
      </w:r>
      <w:r>
        <w:rPr>
          <w:rFonts w:ascii="Arial;sans-serif" w:hAnsi="Arial;sans-serif"/>
          <w:b w:val="false"/>
          <w:color w:val="000000"/>
          <w:sz w:val="22"/>
        </w:rPr>
        <w:t>. The trading prohibitions and restrictions of this policy apply to sales of securities acquired upon the vesting of RSUs but do not apply to the settlement of RSUs solely pursuant to a net settlement or a “sale to cover” for non-discretionary, automatic tax withholdings initiated and approved by the Company for the payment of taxes upon the vesting of RSUs.</w:t>
      </w:r>
    </w:p>
    <w:p>
      <w:pPr>
        <w:pStyle w:val="TextBody"/>
        <w:bidi w:val="0"/>
        <w:spacing w:lineRule="auto" w:line="333" w:before="0" w:after="240"/>
        <w:ind w:left="0" w:right="0" w:hanging="720"/>
        <w:jc w:val="both"/>
        <w:rPr/>
      </w:pPr>
      <w:r>
        <w:rPr>
          <w:rFonts w:ascii="Arial;sans-serif" w:hAnsi="Arial;sans-serif"/>
          <w:b w:val="false"/>
          <w:color w:val="000000"/>
          <w:sz w:val="22"/>
        </w:rPr>
        <w:t>G.    </w:t>
      </w:r>
      <w:r>
        <w:rPr>
          <w:rFonts w:ascii="Arial;sans-serif" w:hAnsi="Arial;sans-serif"/>
          <w:b/>
          <w:color w:val="000000"/>
          <w:sz w:val="22"/>
        </w:rPr>
        <w:t>Priority of Statutory or Regulatory Trading Restrictions</w:t>
      </w:r>
    </w:p>
    <w:p>
      <w:pPr>
        <w:pStyle w:val="TextBody"/>
        <w:bidi w:val="0"/>
        <w:spacing w:lineRule="auto" w:line="333" w:before="0" w:after="240"/>
        <w:ind w:left="0" w:right="0" w:firstLine="720"/>
        <w:jc w:val="both"/>
        <w:rPr/>
      </w:pPr>
      <w:r>
        <w:rPr>
          <w:rFonts w:ascii="Arial;sans-serif" w:hAnsi="Arial;sans-serif"/>
          <w:b w:val="false"/>
          <w:color w:val="000000"/>
          <w:sz w:val="22"/>
        </w:rPr>
        <w:t xml:space="preserve">The trading prohibitions and restrictions set forth in this policy will be superseded by any greater prohibitions or restrictions prescribed by federal or state securities laws and regulations, </w:t>
      </w:r>
      <w:r>
        <w:rPr>
          <w:rFonts w:ascii="Arial;sans-serif" w:hAnsi="Arial;sans-serif"/>
          <w:b w:val="false"/>
          <w:i/>
          <w:color w:val="000000"/>
          <w:sz w:val="22"/>
        </w:rPr>
        <w:t>e.g.</w:t>
      </w:r>
      <w:r>
        <w:rPr>
          <w:rFonts w:ascii="Arial;sans-serif" w:hAnsi="Arial;sans-serif"/>
          <w:b w:val="false"/>
          <w:color w:val="000000"/>
          <w:sz w:val="22"/>
        </w:rPr>
        <w:t>, contractual restrictions on the sale of securities, short- swing trading by Section 16 Insiders or Designated Insiders or restrictions on the sale of securities subject to Rule 144 under the Securities Act. Any Insider who is uncertain whether other prohibitions or restrictions apply should ask the Compliance Officer.</w:t>
      </w:r>
    </w:p>
    <w:p>
      <w:pPr>
        <w:pStyle w:val="TextBody"/>
        <w:bidi w:val="0"/>
        <w:spacing w:lineRule="auto" w:line="333" w:before="0" w:after="240"/>
        <w:jc w:val="both"/>
        <w:rPr>
          <w:rFonts w:ascii="Arial;sans-serif" w:hAnsi="Arial;sans-serif"/>
          <w:b/>
          <w:color w:val="000000"/>
          <w:sz w:val="22"/>
        </w:rPr>
      </w:pPr>
      <w:r>
        <w:rPr>
          <w:rFonts w:ascii="Arial;sans-serif" w:hAnsi="Arial;sans-serif"/>
          <w:b/>
          <w:color w:val="000000"/>
          <w:sz w:val="22"/>
        </w:rPr>
        <w:t>VII.    Trading by the Company</w:t>
      </w:r>
    </w:p>
    <w:p>
      <w:pPr>
        <w:pStyle w:val="TextBody"/>
        <w:bidi w:val="0"/>
        <w:spacing w:lineRule="auto" w:line="333"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Company will not transact in its own securities unless in compliance with applicable U.S. securities laws, rules and regulations and applicable Nasdaq listing standards.</w:t>
      </w:r>
    </w:p>
    <w:p>
      <w:pPr>
        <w:pStyle w:val="TextBody"/>
        <w:bidi w:val="0"/>
        <w:spacing w:lineRule="auto" w:line="333" w:before="0" w:after="240"/>
        <w:jc w:val="both"/>
        <w:rPr>
          <w:rFonts w:ascii="Arial;sans-serif" w:hAnsi="Arial;sans-serif"/>
          <w:b/>
          <w:color w:val="000000"/>
          <w:sz w:val="22"/>
        </w:rPr>
      </w:pPr>
      <w:r>
        <w:rPr>
          <w:rFonts w:ascii="Arial;sans-serif" w:hAnsi="Arial;sans-serif"/>
          <w:b/>
          <w:color w:val="000000"/>
          <w:sz w:val="22"/>
        </w:rPr>
        <w:t>VIII.    Potential Civil, Criminal, and Disciplinary Sanctions</w:t>
      </w:r>
    </w:p>
    <w:p>
      <w:pPr>
        <w:pStyle w:val="TextBody"/>
        <w:bidi w:val="0"/>
        <w:spacing w:lineRule="auto" w:line="333" w:before="0" w:after="240"/>
        <w:ind w:left="0" w:right="0" w:hanging="720"/>
        <w:jc w:val="both"/>
        <w:rPr/>
      </w:pPr>
      <w:r>
        <w:rPr>
          <w:rFonts w:ascii="Arial;sans-serif" w:hAnsi="Arial;sans-serif"/>
          <w:b w:val="false"/>
          <w:color w:val="000000"/>
          <w:sz w:val="22"/>
        </w:rPr>
        <w:t>A.    </w:t>
      </w:r>
      <w:r>
        <w:rPr>
          <w:rFonts w:ascii="Arial;sans-serif" w:hAnsi="Arial;sans-serif"/>
          <w:b/>
          <w:color w:val="000000"/>
          <w:sz w:val="22"/>
        </w:rPr>
        <w:t>Civil and Criminal Penalties</w:t>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 xml:space="preserve">The consequences of prohibited insider trading or tipping can be severe. Persons violating insider trading or tipping rules may be required to disgorge the profit made or the loss avoided by trading, pay the loss suffered by the persons who purchased securities from or sold securities to the insider tippee, pay civil penalties up to three times the profit made or loss avoided, pay a criminal penalty of up to $1 million and serve a jail term of up to 10 years. The Company and/or the supervisors of the person violating the rules may also be required to pay major civil or criminal penalties and could under certain circumstances be subject to private lawsuits by </w:t>
      </w:r>
    </w:p>
    <w:p>
      <w:pPr>
        <w:pStyle w:val="TextBody"/>
        <w:bidi w:val="0"/>
        <w:spacing w:lineRule="auto" w:line="333" w:before="0" w:after="0"/>
        <w:jc w:val="right"/>
        <w:rPr>
          <w:color w:val="000000"/>
        </w:rPr>
      </w:pPr>
      <w:r>
        <w:rPr>
          <w:color w:val="000000"/>
        </w:rPr>
        <w:t>    </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13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13 of 14    </w:t>
                      </w:r>
                    </w:p>
                  </w:txbxContent>
                </v:textbox>
                <w10:wrap type="none"/>
              </v:rect>
            </w:pict>
          </mc:Fallback>
        </mc:AlternateContent>
      </w:r>
    </w:p>
    <w:p>
      <w:pPr>
        <w:pStyle w:val="TextBody"/>
        <w:bidi w:val="0"/>
        <w:spacing w:before="0" w:after="240"/>
        <w:jc w:val="both"/>
        <w:rPr/>
      </w:pPr>
      <w:r>
        <w:rPr/>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contemporaneous traders for damages suffered as a result of illegal insider trading or tipping by persons under the Company’s control.</w:t>
      </w:r>
    </w:p>
    <w:p>
      <w:pPr>
        <w:pStyle w:val="TextBody"/>
        <w:bidi w:val="0"/>
        <w:spacing w:lineRule="auto" w:line="333" w:before="0" w:after="240"/>
        <w:ind w:left="0" w:right="0" w:hanging="720"/>
        <w:jc w:val="both"/>
        <w:rPr/>
      </w:pPr>
      <w:r>
        <w:rPr>
          <w:rFonts w:ascii="Arial;sans-serif" w:hAnsi="Arial;sans-serif"/>
          <w:b w:val="false"/>
          <w:color w:val="000000"/>
          <w:sz w:val="22"/>
        </w:rPr>
        <w:t>B.    </w:t>
      </w:r>
      <w:r>
        <w:rPr>
          <w:rFonts w:ascii="Arial;sans-serif" w:hAnsi="Arial;sans-serif"/>
          <w:b/>
          <w:color w:val="000000"/>
          <w:sz w:val="22"/>
        </w:rPr>
        <w:t>Company Discipline</w:t>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Violation of this policy or federal or state insider trading or tipping laws by any (i) employee or officer may subject such employee or officer to disciplinary action by the Company up to and including termination for cause and (ii) director may subject such director to dismissal proceedings. A violation of this policy is not necessarily the same as a violation of law. In fact, for the reasons indicated above, this policy is intended to be broader than the law. The Company reserves the right to determine, in its own discretion and on the basis of the information available to it, whether this policy has been violated. The Company may determine that specific conduct violates this policy, whether or not the conduct also violates the law. It is not necessary for the Company to await the filing or conclusion of a civil or criminal action against the alleged violator before taking disciplinary action.</w:t>
      </w:r>
    </w:p>
    <w:p>
      <w:pPr>
        <w:pStyle w:val="TextBody"/>
        <w:bidi w:val="0"/>
        <w:spacing w:lineRule="auto" w:line="333" w:before="0" w:after="240"/>
        <w:ind w:left="0" w:right="0" w:hanging="720"/>
        <w:jc w:val="both"/>
        <w:rPr/>
      </w:pPr>
      <w:r>
        <w:rPr>
          <w:rFonts w:ascii="Arial;sans-serif" w:hAnsi="Arial;sans-serif"/>
          <w:b w:val="false"/>
          <w:color w:val="000000"/>
          <w:sz w:val="22"/>
        </w:rPr>
        <w:t>C.    </w:t>
      </w:r>
      <w:r>
        <w:rPr>
          <w:rFonts w:ascii="Arial;sans-serif" w:hAnsi="Arial;sans-serif"/>
          <w:b/>
          <w:color w:val="000000"/>
          <w:sz w:val="22"/>
        </w:rPr>
        <w:t>Reporting of Violations</w:t>
      </w:r>
    </w:p>
    <w:p>
      <w:pPr>
        <w:pStyle w:val="TextBody"/>
        <w:bidi w:val="0"/>
        <w:spacing w:lineRule="auto" w:line="333" w:before="0" w:after="240"/>
        <w:jc w:val="both"/>
        <w:rPr>
          <w:rFonts w:ascii="Arial;sans-serif" w:hAnsi="Arial;sans-serif"/>
          <w:b w:val="false"/>
          <w:color w:val="000000"/>
          <w:sz w:val="22"/>
        </w:rPr>
      </w:pPr>
      <w:r>
        <w:rPr>
          <w:rFonts w:ascii="Arial;sans-serif" w:hAnsi="Arial;sans-serif"/>
          <w:b w:val="false"/>
          <w:color w:val="000000"/>
          <w:sz w:val="22"/>
        </w:rPr>
        <w:t>Any Insider who violates this policy or any federal or state laws governing insider trading or tipping or knows of any such violation by any other Insider, must report the violation immediately to the Compliance Officer or the Chief Executive Officer. Upon learning of any such violation, the Compliance Officer or the Chief Executive Officer, in consultation with the Company’s legal counsel, will determine whether the Company should release any material nonpublic information or whether the Company should report the violation to the SEC or other appropriate governmental authority.</w:t>
      </w:r>
    </w:p>
    <w:p>
      <w:pPr>
        <w:pStyle w:val="TextBody"/>
        <w:bidi w:val="0"/>
        <w:spacing w:lineRule="auto" w:line="333" w:before="0" w:after="240"/>
        <w:jc w:val="both"/>
        <w:rPr>
          <w:rFonts w:ascii="Arial;sans-serif" w:hAnsi="Arial;sans-serif"/>
          <w:b/>
          <w:color w:val="000000"/>
          <w:sz w:val="22"/>
        </w:rPr>
      </w:pPr>
      <w:r>
        <w:rPr>
          <w:rFonts w:ascii="Arial;sans-serif" w:hAnsi="Arial;sans-serif"/>
          <w:b/>
          <w:color w:val="000000"/>
          <w:sz w:val="22"/>
        </w:rPr>
        <w:t>IX.    Changes to this Policy</w:t>
      </w:r>
    </w:p>
    <w:p>
      <w:pPr>
        <w:pStyle w:val="TextBody"/>
        <w:bidi w:val="0"/>
        <w:spacing w:lineRule="auto" w:line="333" w:before="240" w:after="240"/>
        <w:ind w:left="0" w:right="0" w:firstLine="720"/>
        <w:jc w:val="both"/>
        <w:rPr/>
      </w:pPr>
      <w:r>
        <w:rPr>
          <w:rFonts w:ascii="Arial;sans-serif" w:hAnsi="Arial;sans-serif"/>
          <w:b w:val="false"/>
          <w:color w:val="000000"/>
          <w:sz w:val="22"/>
        </w:rPr>
        <w:t>The Company’s Board of Directors (the “</w:t>
      </w:r>
      <w:r>
        <w:rPr>
          <w:rFonts w:ascii="Arial;sans-serif" w:hAnsi="Arial;sans-serif"/>
          <w:b/>
          <w:color w:val="000000"/>
          <w:sz w:val="22"/>
        </w:rPr>
        <w:t>Board</w:t>
      </w:r>
      <w:r>
        <w:rPr>
          <w:color w:val="000000"/>
        </w:rPr>
        <w:t>”</w:t>
      </w:r>
      <w:r>
        <w:rPr>
          <w:rFonts w:ascii="Arial;sans-serif" w:hAnsi="Arial;sans-serif"/>
          <w:b w:val="false"/>
          <w:color w:val="000000"/>
          <w:sz w:val="22"/>
        </w:rPr>
        <w:t>) or the Audit Committee of the Board (the “</w:t>
      </w:r>
      <w:r>
        <w:rPr>
          <w:rFonts w:ascii="Arial;sans-serif" w:hAnsi="Arial;sans-serif"/>
          <w:b/>
          <w:color w:val="000000"/>
          <w:sz w:val="22"/>
        </w:rPr>
        <w:t>Audit Committee</w:t>
      </w:r>
      <w:r>
        <w:rPr>
          <w:color w:val="000000"/>
        </w:rPr>
        <w:t>”</w:t>
      </w:r>
      <w:r>
        <w:rPr>
          <w:rFonts w:ascii="Arial;sans-serif" w:hAnsi="Arial;sans-serif"/>
          <w:b w:val="false"/>
          <w:color w:val="000000"/>
          <w:sz w:val="22"/>
        </w:rPr>
        <w:t xml:space="preserve">) shall have the right to modify, amend, or restate this policy. Any modifications, amendments, or restatements may be publicly disclosed if required by applicable laws, rules, and regulations. For the avoidance of doubt, unless explicitly stated by the Audit Committee or the Board, any modifications, amendments, or restatements of this policy shall not be considered a waiver of the Company’s Code of Conduct and Ethics. </w:t>
      </w:r>
    </w:p>
    <w:p>
      <w:pPr>
        <w:pStyle w:val="TextBody"/>
        <w:bidi w:val="0"/>
        <w:spacing w:lineRule="auto" w:line="333" w:before="0" w:after="240"/>
        <w:jc w:val="both"/>
        <w:rPr>
          <w:rFonts w:ascii="Arial;sans-serif" w:hAnsi="Arial;sans-serif"/>
          <w:b/>
          <w:color w:val="000000"/>
          <w:sz w:val="22"/>
        </w:rPr>
      </w:pPr>
      <w:r>
        <w:rPr>
          <w:rFonts w:ascii="Arial;sans-serif" w:hAnsi="Arial;sans-serif"/>
          <w:b/>
          <w:color w:val="000000"/>
          <w:sz w:val="22"/>
        </w:rPr>
        <w:t>X.    Inquiries</w:t>
      </w:r>
    </w:p>
    <w:p>
      <w:pPr>
        <w:pStyle w:val="TextBody"/>
        <w:bidi w:val="0"/>
        <w:spacing w:lineRule="auto" w:line="333"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Please direct all inquiries regarding any of the provisions or procedures of this policy to the Compliance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14 of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color w:val="000000"/>
                        </w:rPr>
                      </w:pPr>
                      <w:r>
                        <w:rPr>
                          <w:color w:val="000000"/>
                        </w:rPr>
                        <w:t>    </w:t>
                      </w:r>
                      <w:r>
                        <w:rPr>
                          <w:rFonts w:ascii="Arial;sans-serif" w:hAnsi="Arial;sans-serif"/>
                          <w:b w:val="false"/>
                          <w:color w:val="000000"/>
                          <w:sz w:val="22"/>
                        </w:rPr>
                        <w:t>Page 14 of 14    </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u w:val="single"/>
        </w:rPr>
      </w:pPr>
      <w:r>
        <w:rPr>
          <w:rFonts w:ascii="Arial;sans-serif" w:hAnsi="Arial;sans-serif"/>
          <w:b/>
          <w:color w:val="000000"/>
          <w:sz w:val="22"/>
          <w:u w:val="single"/>
        </w:rPr>
        <w:t>Exhibit B</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Rule 10b5-1 Exceptions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Exceptions to the Multiple, Overlapping Rule 10b5-1 Plan Restriction</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Such exceptions are:</w:t>
      </w:r>
    </w:p>
    <w:p>
      <w:pPr>
        <w:pStyle w:val="TextBody"/>
        <w:bidi w:val="0"/>
        <w:spacing w:lineRule="auto" w:line="288" w:before="0" w:after="120"/>
        <w:ind w:left="0" w:right="0" w:hanging="720"/>
        <w:jc w:val="left"/>
        <w:rPr/>
      </w:pPr>
      <w:r>
        <w:rPr>
          <w:color w:val="000000"/>
        </w:rPr>
        <w:t>•</w:t>
      </w:r>
      <w:r>
        <w:rPr>
          <w:rFonts w:ascii="Times New Roman;sans-serif" w:hAnsi="Times New Roman;sans-serif"/>
          <w:b w:val="false"/>
          <w:color w:val="000000"/>
          <w:sz w:val="24"/>
        </w:rPr>
        <w:t>An eligible “sell-to-cover” Rule 10b5-1 Plan where such plan authorizes an agent to sell only such securities as are necessary to satisfy tax withholding obligations arising exclusively from the vesting of a compensatory award, such as restricted stock or stock appreciation rights, and the Insider does not otherwise exercise control over the timing of such sales. For the avoidance of doubt, this exception does not extend to sales incident to the exercise of option awards.</w:t>
      </w:r>
    </w:p>
    <w:p>
      <w:pPr>
        <w:pStyle w:val="TextBody"/>
        <w:bidi w:val="0"/>
        <w:spacing w:lineRule="auto" w:line="288" w:before="0" w:after="120"/>
        <w:ind w:left="0" w:right="0" w:hanging="720"/>
        <w:jc w:val="left"/>
        <w:rPr/>
      </w:pPr>
      <w:r>
        <w:rPr>
          <w:color w:val="000000"/>
        </w:rPr>
        <w:t>•</w:t>
      </w:r>
      <w:r>
        <w:rPr>
          <w:rFonts w:ascii="Times New Roman;sans-serif" w:hAnsi="Times New Roman;sans-serif"/>
          <w:b w:val="false"/>
          <w:color w:val="000000"/>
          <w:sz w:val="24"/>
        </w:rPr>
        <w:t>A series of separate contracts with different broker-dealers or other agents acting on behalf of the person (other than the Company) to execute trades thereunder may be treated as a single Rule 10b5-1 Plan, provided that the individual constituent contracts with each broker-dealer or other agent, when taken together as a whole, meet all of the applicable conditions of and remain collectively subject to the provisions of Rule 10b5-1, including that a modification of any individual contract acts as modification of the whole Rule 10b5-1 Plan, as defined in Rule 10b5-1(c)(1)(iv). The substitution of a broker-dealer or other agent acting on behalf of the person (other than the Company) for another broker-dealer that is executing trades pursuant to a Rule 10b5-1 Plan shall not be a “Plan Modification” as long as the purchase or sales instructions applicable to the substitute and substituted broker are identical with respect to the prices of securities to be purchased or sold, dates of the purchases or sales to be executed, and amount of securities to be purchased or sold.</w:t>
      </w:r>
    </w:p>
    <w:p>
      <w:pPr>
        <w:pStyle w:val="TextBody"/>
        <w:bidi w:val="0"/>
        <w:spacing w:lineRule="auto" w:line="288" w:before="0" w:after="120"/>
        <w:ind w:left="0" w:right="0" w:hanging="720"/>
        <w:jc w:val="left"/>
        <w:rPr/>
      </w:pPr>
      <w:r>
        <w:rPr>
          <w:color w:val="000000"/>
        </w:rPr>
        <w:t>•</w:t>
      </w:r>
      <w:r>
        <w:rPr>
          <w:rFonts w:ascii="Times New Roman;sans-serif" w:hAnsi="Times New Roman;sans-serif"/>
          <w:b w:val="false"/>
          <w:color w:val="000000"/>
          <w:sz w:val="24"/>
        </w:rPr>
        <w:t>One later-commencing Rule 10b5-1 Plan for purchases or sales of any securities of the Company on the open market under which trading is not authorized to begin until after all trades under the earlier-commencing Rule 10b5-1 Plan are completed or expired without execution. However, the first trade under such later-commencing Rule 10b5-1 Plan must be scheduled after the “Effective Cooling-Off Period,” or the Cooling-Off Period that would be applicable to the later-commencing Rule 10b5-1 Plan if the date of adoption of the later-commencing Rule 10b5-1 Plan were deemed to be the date of termination of the earlier-commencing Rule 10b5-1 Plan.</w:t>
      </w:r>
    </w:p>
    <w:p>
      <w:pPr>
        <w:pStyle w:val="TextBody"/>
        <w:bidi w:val="0"/>
        <w:spacing w:lineRule="auto" w:line="288" w:before="240" w:after="240"/>
        <w:jc w:val="left"/>
        <w:rPr>
          <w:rFonts w:ascii="Arial;sans-serif" w:hAnsi="Arial;sans-serif"/>
          <w:b/>
          <w:color w:val="000000"/>
          <w:sz w:val="22"/>
        </w:rPr>
      </w:pPr>
      <w:r>
        <w:rPr>
          <w:rFonts w:ascii="Arial;sans-serif" w:hAnsi="Arial;sans-serif"/>
          <w:b/>
          <w:color w:val="000000"/>
          <w:sz w:val="22"/>
        </w:rPr>
        <w:t>Exceptions to the Single-Trade Rule 10b5-1 Plan Restriction</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There is an exception for eligible “sell-to-cover” Rule 10b5-1 Plans where the plan authorizes an agent to sell only such securities as are necessary to satisfy tax withholding obligations arising exclusively from the vesting of a compensatory award, such as restricted stock or stock appreciation rights, and the Insider does not otherwise exercise control over the timing of such sales.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SUBSIDIARIES OF THE REGISTRANT</w:t>
      </w:r>
    </w:p>
    <w:p>
      <w:pPr>
        <w:pStyle w:val="TextBody"/>
        <w:bidi w:val="0"/>
        <w:spacing w:lineRule="auto" w:line="288" w:before="0" w:after="0"/>
        <w:jc w:val="left"/>
        <w:rPr>
          <w:color w:val="000000"/>
        </w:rPr>
      </w:pPr>
      <w:r>
        <w:rPr>
          <w:color w:val="000000"/>
        </w:rPr>
        <w:t> </w:t>
      </w:r>
    </w:p>
    <w:tbl>
      <w:tblPr>
        <w:tblW w:w="5834" w:type="dxa"/>
        <w:jc w:val="left"/>
        <w:tblInd w:w="0" w:type="dxa"/>
        <w:tblLayout w:type="fixed"/>
        <w:tblCellMar>
          <w:top w:w="28" w:type="dxa"/>
          <w:left w:w="28" w:type="dxa"/>
          <w:bottom w:w="28" w:type="dxa"/>
          <w:right w:w="28" w:type="dxa"/>
        </w:tblCellMar>
      </w:tblPr>
      <w:tblGrid>
        <w:gridCol w:w="646"/>
        <w:gridCol w:w="568"/>
        <w:gridCol w:w="570"/>
        <w:gridCol w:w="1184"/>
        <w:gridCol w:w="1184"/>
        <w:gridCol w:w="1682"/>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Name of Subsidiary</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Jurisdiction of Incorporation or Organization</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AnaptysBio Pty Ltd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240" w:after="48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(Nos. 333-215741, 333-223446, 333-229927, 333-236805, 333-253504, 333-263332, 333-270175, 333-277823, and 333-281246) on Form S-8 and in the registration statement (No. 333-283001) on Form S-3 of our report dated February 27, 2025, with respect to the consolidated financial statements of AnaptysBio, Inc.</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0" w:after="6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Diego, California </w:t>
        <w:br/>
        <w:t>February 27, 2025</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PERIODIC REPORT UNDER SECTION 302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w:t>
      </w:r>
    </w:p>
    <w:p>
      <w:pPr>
        <w:pStyle w:val="TextBody"/>
        <w:bidi w:val="0"/>
        <w:spacing w:lineRule="auto" w:line="417"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Daniel Faga, certify that: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AnaptysBio, Inc.;</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27, 2025 </w:t>
      </w:r>
    </w:p>
    <w:p>
      <w:pPr>
        <w:pStyle w:val="TextBody"/>
        <w:bidi w:val="0"/>
        <w:spacing w:lineRule="auto" w:line="288" w:before="0" w:after="0"/>
        <w:jc w:val="right"/>
        <w:rPr>
          <w:color w:val="000000"/>
        </w:rPr>
      </w:pPr>
      <w:r>
        <w:rPr>
          <w:color w:val="000000"/>
        </w:rPr>
        <w:t>                             </w:t>
      </w:r>
    </w:p>
    <w:tbl>
      <w:tblPr>
        <w:tblW w:w="3255" w:type="dxa"/>
        <w:jc w:val="right"/>
        <w:tblInd w:w="0" w:type="dxa"/>
        <w:tblLayout w:type="fixed"/>
        <w:tblCellMar>
          <w:top w:w="28" w:type="dxa"/>
          <w:left w:w="28" w:type="dxa"/>
          <w:bottom w:w="28" w:type="dxa"/>
          <w:right w:w="28" w:type="dxa"/>
        </w:tblCellMar>
      </w:tblPr>
      <w:tblGrid>
        <w:gridCol w:w="1042"/>
        <w:gridCol w:w="913"/>
        <w:gridCol w:w="1300"/>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(Principal Executive Officer</w:t>
            </w:r>
            <w:r>
              <w:rPr>
                <w:rFonts w:ascii="Times New Roman;sans-serif" w:hAnsi="Times New Roman;sans-serif"/>
                <w:b w:val="false"/>
                <w:i/>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PERIODIC REPORT UNDER SECTION 302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w:t>
      </w:r>
    </w:p>
    <w:p>
      <w:pPr>
        <w:pStyle w:val="TextBody"/>
        <w:bidi w:val="0"/>
        <w:spacing w:lineRule="auto" w:line="417"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Dennis Mulroy, certify that:</w:t>
      </w:r>
    </w:p>
    <w:p>
      <w:pPr>
        <w:pStyle w:val="TextBody"/>
        <w:bidi w:val="0"/>
        <w:spacing w:lineRule="auto" w:line="417"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AnaptysBio, Inc.;</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27, 2025 </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Daniel Faga, Chief Executive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Annual Report on Form 10-K of the Company for the year ended December 31, 2024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p>
      <w:pPr>
        <w:pStyle w:val="TextBody"/>
        <w:bidi w:val="0"/>
        <w:spacing w:lineRule="auto" w:line="288" w:before="0" w:after="0"/>
        <w:jc w:val="right"/>
        <w:rPr>
          <w:color w:val="000000"/>
        </w:rPr>
      </w:pPr>
      <w:r>
        <w:rPr>
          <w:color w:val="000000"/>
        </w:rPr>
        <w:t>                             </w:t>
      </w:r>
    </w:p>
    <w:tbl>
      <w:tblPr>
        <w:tblW w:w="3255" w:type="dxa"/>
        <w:jc w:val="right"/>
        <w:tblInd w:w="0" w:type="dxa"/>
        <w:tblLayout w:type="fixed"/>
        <w:tblCellMar>
          <w:top w:w="28" w:type="dxa"/>
          <w:left w:w="28" w:type="dxa"/>
          <w:bottom w:w="28" w:type="dxa"/>
          <w:right w:w="28" w:type="dxa"/>
        </w:tblCellMar>
      </w:tblPr>
      <w:tblGrid>
        <w:gridCol w:w="1042"/>
        <w:gridCol w:w="913"/>
        <w:gridCol w:w="1300"/>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(Principal Executive Officer</w:t>
            </w:r>
            <w:r>
              <w:rPr>
                <w:rFonts w:ascii="Times New Roman;sans-serif" w:hAnsi="Times New Roman;sans-serif"/>
                <w:b w:val="false"/>
                <w:i/>
                <w:color w:val="000000"/>
                <w:sz w:val="20"/>
              </w:rPr>
              <w:t>)</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Dennis Mulroy, Chief Financial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Annual Report on Form 10-K of the Company for the year ended December 31, 2024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0053/000137005323000049/anaptysbioinc-derestated.htm" TargetMode="External"/><Relationship Id="rId4" Type="http://schemas.openxmlformats.org/officeDocument/2006/relationships/hyperlink" Target="https://www.sec.gov/Archives/edgar/data/1370053/000137005323000013/anaptysbio-secondamended.htm" TargetMode="External"/><Relationship Id="rId5" Type="http://schemas.openxmlformats.org/officeDocument/2006/relationships/hyperlink" Target="https://www.sec.gov/Archives/edgar/data/1370053/000119312515412604/d942137dex41.htm" TargetMode="External"/><Relationship Id="rId6" Type="http://schemas.openxmlformats.org/officeDocument/2006/relationships/hyperlink" Target="https://www.sec.gov/Archives/edgar/data/1370053/000137005320000009/anaptys-10xkfy2019xexh.htm" TargetMode="External"/><Relationship Id="rId7" Type="http://schemas.openxmlformats.org/officeDocument/2006/relationships/hyperlink" Target="https://www.sec.gov/Archives/edgar/data/1370053/000119312515315918/d942137dex101.htm" TargetMode="External"/><Relationship Id="rId8" Type="http://schemas.openxmlformats.org/officeDocument/2006/relationships/hyperlink" Target="https://www.sec.gov/Archives/edgar/data/1370053/000119312517010405/d320192dex102.htm" TargetMode="External"/><Relationship Id="rId9" Type="http://schemas.openxmlformats.org/officeDocument/2006/relationships/hyperlink" Target="https://www.sec.gov/Archives/edgar/data/1370053/000137005324000029/anab-ar2017equityincenti.htm" TargetMode="External"/><Relationship Id="rId10" Type="http://schemas.openxmlformats.org/officeDocument/2006/relationships/hyperlink" Target="https://www.sec.gov/Archives/edgar/data/1370053/000137005324000029/anab-ar2017equityincenti.htm" TargetMode="External"/><Relationship Id="rId11" Type="http://schemas.openxmlformats.org/officeDocument/2006/relationships/hyperlink" Target="https://www.sec.gov/Archives/edgar/data/1370053/000137005324000029/anab-ar2017equityincenti.htm" TargetMode="External"/><Relationship Id="rId12" Type="http://schemas.openxmlformats.org/officeDocument/2006/relationships/hyperlink" Target="https://www.sec.gov/Archives/edgar/data/1370053/000119312517010405/d320192dex104.htm" TargetMode="External"/><Relationship Id="rId13" Type="http://schemas.openxmlformats.org/officeDocument/2006/relationships/hyperlink" Target="https://www.sec.gov/Archives/edgar/data/1370053/000119312516585556/d942137dex1010.htm" TargetMode="External"/><Relationship Id="rId14" Type="http://schemas.openxmlformats.org/officeDocument/2006/relationships/hyperlink" Target="https://www.sec.gov/Archives/edgar/data/1370053/000137005320000026/wateridgelease.htm" TargetMode="External"/><Relationship Id="rId15" Type="http://schemas.openxmlformats.org/officeDocument/2006/relationships/hyperlink" Target="https://www.sec.gov/Archives/edgar/data/1370053/000137005323000040/loumeauthirdamemployment.htm" TargetMode="External"/><Relationship Id="rId16" Type="http://schemas.openxmlformats.org/officeDocument/2006/relationships/hyperlink" Target="https://www.sec.gov/Archives/edgar/data/1370053/000137005322000024/lizzulamendedandrestated.htm" TargetMode="External"/><Relationship Id="rId17" Type="http://schemas.openxmlformats.org/officeDocument/2006/relationships/hyperlink" Target="https://www.sec.gov/Archives/edgar/data/1370053/000137005321000019/amendmentno3tocollaboratio.htm" TargetMode="External"/><Relationship Id="rId18" Type="http://schemas.openxmlformats.org/officeDocument/2006/relationships/hyperlink" Target="https://www.sec.gov/Archives/edgar/data/1370053/000137005321000019/anab-confidentialsettlemen.htm" TargetMode="External"/><Relationship Id="rId19" Type="http://schemas.openxmlformats.org/officeDocument/2006/relationships/hyperlink" Target="https://www.sec.gov/Archives/edgar/data/1370053/000137005321000056/anaptysbio-firstamendmentx.htm" TargetMode="External"/><Relationship Id="rId20" Type="http://schemas.openxmlformats.org/officeDocument/2006/relationships/hyperlink" Target="https://www.sec.gov/Archives/edgar/data/1370053/000137005321000079/royaltypurchaseagreement.htm" TargetMode="External"/><Relationship Id="rId21" Type="http://schemas.openxmlformats.org/officeDocument/2006/relationships/hyperlink" Target="https://www.sec.gov/Archives/edgar/data/1370053/000137005322000009/amendmentno4totesaroanapty.htm" TargetMode="External"/><Relationship Id="rId22" Type="http://schemas.openxmlformats.org/officeDocument/2006/relationships/hyperlink" Target="https://www.sec.gov/Archives/edgar/data/1370053/000137005323000065/anaptsysbio-amendedandre.htm" TargetMode="External"/><Relationship Id="rId23" Type="http://schemas.openxmlformats.org/officeDocument/2006/relationships/hyperlink" Target="https://www.sec.gov/Archives/edgar/data/1370053/000137005322000066/zejularoyaltypurchaseagr.htm" TargetMode="External"/><Relationship Id="rId24" Type="http://schemas.openxmlformats.org/officeDocument/2006/relationships/hyperlink" Target="https://www.sec.gov/Archives/edgar/data/1370053/000137005324000011/centessalicenseagreement.htm" TargetMode="External"/><Relationship Id="rId25" Type="http://schemas.openxmlformats.org/officeDocument/2006/relationships/hyperlink" Target="https://www.sec.gov/Archives/edgar/data/1370053/000137005324000011/tesaroamd5tolicenseagree.htm" TargetMode="External"/><Relationship Id="rId26" Type="http://schemas.openxmlformats.org/officeDocument/2006/relationships/hyperlink" Target="https://www.sec.gov/Archives/edgar/data/1370053/000137005324000027/anaptysbio-centessaxxame.htm" TargetMode="External"/><Relationship Id="rId27" Type="http://schemas.openxmlformats.org/officeDocument/2006/relationships/hyperlink" Target="https://www.sec.gov/Archives/edgar/data/1370053/000137005324000027/anaptysbio-centessaxxame.htm" TargetMode="External"/><Relationship Id="rId28" Type="http://schemas.openxmlformats.org/officeDocument/2006/relationships/hyperlink" Target="https://www.sec.gov/Archives/edgar/data/1370053/000137005324000027/anaptysbio-centessaxxame.htm" TargetMode="External"/><Relationship Id="rId29" Type="http://schemas.openxmlformats.org/officeDocument/2006/relationships/hyperlink" Target="https://www.sec.gov/Archives/edgar/data/1370053/000137005324000041/redactedsagard-anaptysbiof.htm" TargetMode="External"/><Relationship Id="rId30" Type="http://schemas.openxmlformats.org/officeDocument/2006/relationships/hyperlink" Target="https://www.sec.gov/Archives/edgar/data/1370053/000137005324000041/redactedsagard-anaptysbiof.htm" TargetMode="External"/><Relationship Id="rId31" Type="http://schemas.openxmlformats.org/officeDocument/2006/relationships/hyperlink" Target="https://www.sec.gov/Archives/edgar/data/1370053/000137005324000041/redactedsagard-anaptysbiof.htm" TargetMode="External"/><Relationship Id="rId32" Type="http://schemas.openxmlformats.org/officeDocument/2006/relationships/hyperlink" Target="https://www.sec.gov/Archives/edgar/data/1370053/000137005324000041/redactedsagard-anaptysbiof.htm" TargetMode="External"/><Relationship Id="rId33" Type="http://schemas.openxmlformats.org/officeDocument/2006/relationships/hyperlink" Target="https://www.sec.gov/Archives/edgar/data/1370053/000137005324000041/redactedsagard-anaptysbiof.htm" TargetMode="External"/><Relationship Id="rId34" Type="http://schemas.openxmlformats.org/officeDocument/2006/relationships/hyperlink" Target="https://www.sec.gov/Archives/edgar/data/1370053/000137005324000041/redactedsagard-anaptysbiof.htm" TargetMode="External"/><Relationship Id="rId35" Type="http://schemas.openxmlformats.org/officeDocument/2006/relationships/hyperlink" Target="https://www.sec.gov/Archives/edgar/data/1370053/000137005324000056/anab-atmsalesagreementtdco.htm" TargetMode="External"/><Relationship Id="rId36" Type="http://schemas.openxmlformats.org/officeDocument/2006/relationships/hyperlink" Target="https://www.sec.gov/Archives/edgar/data/1370053/000137005324000056/anab-atmsalesagreementtdco.htm" TargetMode="External"/><Relationship Id="rId37" Type="http://schemas.openxmlformats.org/officeDocument/2006/relationships/hyperlink" Target="https://www.sec.gov/Archives/edgar/data/1370053/000137005324000056/anab-atmsalesagreementtdco.htm" TargetMode="External"/><Relationship Id="rId38" Type="http://schemas.openxmlformats.org/officeDocument/2006/relationships/hyperlink" Target="https://www.sec.gov/Archives/edgar/data/1370053/000137005324000011/clawbackpolicyapproved9-.htm" TargetMode="External"/><Relationship Id="rId39" Type="http://schemas.openxmlformats.org/officeDocument/2006/relationships/image" Target="media/image2.jpeg"/><Relationship Id="rId40" Type="http://schemas.openxmlformats.org/officeDocument/2006/relationships/image" Target="media/image3.jpeg"/><Relationship Id="rId41" Type="http://schemas.openxmlformats.org/officeDocument/2006/relationships/image" Target="media/image4.jpeg"/><Relationship Id="rId42" Type="http://schemas.openxmlformats.org/officeDocument/2006/relationships/image" Target="media/image5.jpeg"/><Relationship Id="rId43" Type="http://schemas.openxmlformats.org/officeDocument/2006/relationships/image" Target="media/image6.jpeg"/><Relationship Id="rId44" Type="http://schemas.openxmlformats.org/officeDocument/2006/relationships/image" Target="media/image7.jpeg"/><Relationship Id="rId45" Type="http://schemas.openxmlformats.org/officeDocument/2006/relationships/image" Target="media/image8.jpeg"/><Relationship Id="rId46" Type="http://schemas.openxmlformats.org/officeDocument/2006/relationships/image" Target="media/image9.jpeg"/><Relationship Id="rId47" Type="http://schemas.openxmlformats.org/officeDocument/2006/relationships/image" Target="media/image10.jpeg"/><Relationship Id="rId48" Type="http://schemas.openxmlformats.org/officeDocument/2006/relationships/image" Target="media/image11.jpeg"/><Relationship Id="rId49" Type="http://schemas.openxmlformats.org/officeDocument/2006/relationships/image" Target="media/image12.jpeg"/><Relationship Id="rId50" Type="http://schemas.openxmlformats.org/officeDocument/2006/relationships/image" Target="media/image13.jpeg"/><Relationship Id="rId51" Type="http://schemas.openxmlformats.org/officeDocument/2006/relationships/image" Target="media/image14.jpeg"/><Relationship Id="rId52" Type="http://schemas.openxmlformats.org/officeDocument/2006/relationships/image" Target="media/image15.pn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82035</Words>
  <Characters>459927</Characters>
  <CharactersWithSpaces>540331</CharactersWithSpaces>
  <Paragraphs>3678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mulroyamendedandrestated</dc:title>
</cp:coreProperties>
</file>