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LOUMEAU ERIC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COO, General Counsel</w:t>
      </w:r>
    </w:p>
    <w:p>
      <w:pPr>
        <w:spacing w:after="0" w:line="38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09/14/2022</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12,000</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12,000</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one-time retention grant of restricted stock units ("RSUs"). Each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RSUs vest on September 14, 2023 and September 14, 2024, subject to the Reporting Person's provision of service to the Issuer on each vesting date.</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12,000 shares of common stock as set forth in Table II above, the Reporting Person also holds an additional options to purchase up to an aggregate of 308,000 shares of common stock, which options vest according to their terms.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Eric Loumeau</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09/16/2022</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2022-09-16T16:11:35Z</dcterms:created>
  <dcterms:modified xsi:type="dcterms:W3CDTF">2022-09-16T16:11:35Z</dcterms:modified>
</cp:coreProperties>
</file>