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80"/>
        <w:spacing w:after="0"/>
        <w:rPr>
          <w:sz w:val="20"/>
          <w:szCs w:val="20"/>
          <w:color w:val="auto"/>
        </w:rPr>
      </w:pPr>
      <w:r>
        <w:rPr>
          <w:rFonts w:ascii="Arial" w:cs="Arial" w:eastAsia="Arial" w:hAnsi="Arial"/>
          <w:sz w:val="20"/>
          <w:szCs w:val="20"/>
          <w:b w:val="1"/>
          <w:bCs w:val="1"/>
          <w:color w:val="auto"/>
        </w:rPr>
        <w:t>Date of Report: July 13, 2020</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2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105" w:lineRule="exact"/>
        <w:rPr>
          <w:sz w:val="24"/>
          <w:szCs w:val="24"/>
          <w:color w:val="auto"/>
        </w:rPr>
      </w:pPr>
    </w:p>
    <w:p>
      <w:pPr>
        <w:sectPr>
          <w:pgSz w:w="11900" w:h="16838" w:orient="portrait"/>
          <w:cols w:equalWidth="0" w:num="3">
            <w:col w:w="4520" w:space="720"/>
            <w:col w:w="2860" w:space="720"/>
            <w:col w:w="2420"/>
          </w:cols>
          <w:pgMar w:left="320" w:top="1440" w:right="339" w:bottom="1440" w:gutter="0" w:footer="0" w:header="0"/>
          <w:type w:val="continuous"/>
        </w:sectPr>
      </w:pPr>
    </w:p>
    <w:p>
      <w:pPr>
        <w:ind w:left="20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60" w:space="720"/>
            <w:col w:w="2640" w:space="720"/>
            <w:col w:w="3300"/>
          </w:cols>
          <w:pgMar w:left="320" w:top="1440" w:right="339" w:bottom="1440" w:gutter="0" w:footer="0" w:header="0"/>
          <w:type w:val="continuous"/>
        </w:sectPr>
      </w:pP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72" w:lineRule="exact"/>
        <w:rPr>
          <w:sz w:val="24"/>
          <w:szCs w:val="24"/>
          <w:color w:val="auto"/>
        </w:rPr>
      </w:pPr>
    </w:p>
    <w:p>
      <w:pPr>
        <w:ind w:right="680"/>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communications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14d</w:t>
      </w:r>
      <w:r>
        <w:rPr>
          <w:rFonts w:ascii="MS PGothic" w:cs="MS PGothic" w:eastAsia="MS PGothic" w:hAnsi="MS PGothic"/>
          <w:sz w:val="18"/>
          <w:szCs w:val="18"/>
          <w:color w:val="auto"/>
        </w:rPr>
        <w:t>‑</w:t>
      </w:r>
      <w:r>
        <w:rPr>
          <w:rFonts w:ascii="Arial" w:cs="Arial" w:eastAsia="Arial" w:hAnsi="Arial"/>
          <w:sz w:val="18"/>
          <w:szCs w:val="18"/>
          <w:color w:val="auto"/>
        </w:rPr>
        <w:t>2(b) under the Exchange Act (17 CFR 240.14d</w:t>
      </w:r>
      <w:r>
        <w:rPr>
          <w:rFonts w:ascii="MS PGothic" w:cs="MS PGothic" w:eastAsia="MS PGothic" w:hAnsi="MS PGothic"/>
          <w:sz w:val="18"/>
          <w:szCs w:val="18"/>
          <w:color w:val="auto"/>
        </w:rPr>
        <w:t>‑</w:t>
      </w:r>
      <w:r>
        <w:rPr>
          <w:rFonts w:ascii="Arial" w:cs="Arial" w:eastAsia="Arial" w:hAnsi="Arial"/>
          <w:sz w:val="18"/>
          <w:szCs w:val="18"/>
          <w:color w:val="auto"/>
        </w:rPr>
        <w:t>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w:t>
      </w:r>
      <w:r>
        <w:rPr>
          <w:rFonts w:ascii="MS PGothic" w:cs="MS PGothic" w:eastAsia="MS PGothic" w:hAnsi="MS PGothic"/>
          <w:sz w:val="18"/>
          <w:szCs w:val="18"/>
          <w:color w:val="auto"/>
        </w:rPr>
        <w:t>‑</w:t>
      </w:r>
      <w:r>
        <w:rPr>
          <w:rFonts w:ascii="Arial" w:cs="Arial" w:eastAsia="Arial" w:hAnsi="Arial"/>
          <w:sz w:val="18"/>
          <w:szCs w:val="18"/>
          <w:color w:val="auto"/>
        </w:rPr>
        <w:t>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r>
        <w:trPr>
          <w:trHeight w:val="224"/>
        </w:trPr>
        <w:tc>
          <w:tcPr>
            <w:tcW w:w="4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40"/>
        </w:trPr>
        <w:tc>
          <w:tcPr>
            <w:tcW w:w="400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20" w:type="dxa"/>
            <w:vAlign w:val="bottom"/>
            <w:tcBorders>
              <w:bottom w:val="single" w:sz="8" w:color="auto"/>
              <w:right w:val="single" w:sz="8" w:color="auto"/>
            </w:tcBorders>
          </w:tcPr>
          <w:p>
            <w:pPr>
              <w:spacing w:after="0"/>
              <w:rPr>
                <w:sz w:val="3"/>
                <w:szCs w:val="3"/>
                <w:color w:val="auto"/>
              </w:rPr>
            </w:pP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140" w:right="660" w:hanging="1133"/>
        <w:spacing w:after="0" w:line="25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On July 13, 2020, the Board of Directors (the “Board”) of AnaptysBio, Inc. (“AnaptysBio”) appointed Dennis Mulroy, 65, as Chief Financial Officer, effective as of July 15, 2020. Mr. Mulroy previously served as Chief Financial Officer of La Jolla Pharmaceutical Company. Before joining La Jolla Pharmaceutical he served as Chief Financial Officer of Taxus Cardium Pharmaceuticals Group, Inc., Chief Financial Officer of Molecular Imaging, Inc. and Chief Financial Officer of SeraCare Life Sciences, Inc. Mr. Mulroy began his career at Ernst &amp; Young LLP. Mr. Mulroy received a B.B.A. degree in accounting, from the University of San Diego and is a Certified Public Accountant (inactive) in the state of California.</w:t>
      </w:r>
    </w:p>
    <w:p>
      <w:pPr>
        <w:spacing w:after="0" w:line="2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his appointment as Chief Financial Officer, Mr. Mulroy entered into an employment agreement with us, setting forth the principal terms and conditions of his employment, including his current annual base salary of $400,000 and an annual target cash bonus opportunity of up to 40% of his base salary, which bonus is earned based on our achievement of performance goals established by the Chief Executive Officer of AnaptysBio, the achievement of which is evaluated by the Chief Executive Officer and the Board. Mr. Mulroy’s employment is at will and may be terminated at any time, with or without cause. However, pursuant to the terms of the employment agreement, if AnaptysBio experiences a change in control and Mr. Mulroy is terminated without “cause” or resigns for “good reason” (each as defined in the employment agreement) upon the occurrence of, or within 13 months following, such change of control, and provided that Mr. Mulroy delivers a signed settlement and general release in favor of AnaptysBio and satisfies all conditions to make such release effective,</w:t>
      </w:r>
    </w:p>
    <w:p>
      <w:pPr>
        <w:spacing w:after="0" w:line="3" w:lineRule="exact"/>
        <w:rPr>
          <w:sz w:val="20"/>
          <w:szCs w:val="20"/>
          <w:color w:val="auto"/>
        </w:rPr>
      </w:pPr>
    </w:p>
    <w:p>
      <w:pPr>
        <w:ind w:right="40" w:firstLine="8"/>
        <w:spacing w:after="0"/>
        <w:tabs>
          <w:tab w:leader="none" w:pos="236" w:val="left"/>
        </w:tabs>
        <w:numPr>
          <w:ilvl w:val="0"/>
          <w:numId w:val="1"/>
        </w:numPr>
        <w:rPr>
          <w:rFonts w:ascii="Arial" w:cs="Arial" w:eastAsia="Arial" w:hAnsi="Arial"/>
          <w:sz w:val="20"/>
          <w:szCs w:val="20"/>
          <w:color w:val="auto"/>
        </w:rPr>
      </w:pPr>
      <w:r>
        <w:rPr>
          <w:rFonts w:ascii="Arial" w:cs="Arial" w:eastAsia="Arial" w:hAnsi="Arial"/>
          <w:sz w:val="20"/>
          <w:szCs w:val="20"/>
          <w:color w:val="auto"/>
        </w:rPr>
        <w:t>Mr. Mulroy will receive severance payments and COBRA premiums, paid directly to the insurance provider of our group health plan for Mr. Mulroy and his family, for twelve months and (ii) his currently outstanding stock options will vest in full. Consistent with the terms of the employment agreements of the other executive officers of AnaptysBio, the employment agreement also contains a “better after-tax” provision, which provides that if any payment to Mr. Mulroy constitutes a parachute payment under Section 280G of the Code, the payment will either be (i) reduced or (ii) provided in full to Mr. Mulroy, whichever results in Mr. Mulroy receiving the greater amount after taking into consideration the payment of all taxes, including the excise tax under Section 4999 of the Code, in each case based upon the highest marginal rate for the applicable tax.</w:t>
      </w:r>
    </w:p>
    <w:p>
      <w:pPr>
        <w:spacing w:after="0" w:line="224" w:lineRule="exact"/>
        <w:rPr>
          <w:sz w:val="20"/>
          <w:szCs w:val="20"/>
          <w:color w:val="auto"/>
        </w:rPr>
      </w:pPr>
    </w:p>
    <w:p>
      <w:pPr>
        <w:jc w:val="both"/>
        <w:ind w:right="160"/>
        <w:spacing w:after="0" w:line="272" w:lineRule="auto"/>
        <w:rPr>
          <w:sz w:val="20"/>
          <w:szCs w:val="20"/>
          <w:color w:val="auto"/>
        </w:rPr>
      </w:pPr>
      <w:r>
        <w:rPr>
          <w:rFonts w:ascii="Arial" w:cs="Arial" w:eastAsia="Arial" w:hAnsi="Arial"/>
          <w:sz w:val="18"/>
          <w:szCs w:val="18"/>
          <w:color w:val="auto"/>
        </w:rPr>
        <w:t>In connection with Mr. Mulroy’s appointment as Chief Financial Officer, AnaptysBio has granted Mr. Mulroy an option to purchase 90,600 shares of its common stock with an exercise price equal to the fair market value of its common stock on the date of grant, which will vest as to 25% of such option as of the first anniversary of Mr. Mulroy’s employment by AnaptysBio, and monthly thereafter for 36 months.</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8"/>
          <w:szCs w:val="18"/>
          <w:color w:val="auto"/>
        </w:rPr>
        <w:t>There are no arrangements or understandings between Mr. Mulroy and any other persons pursuant to which he was selected as Chief Financial Officer. There are also no family relationships between Mr. Mulroy and any director or executive officer of AnaptysBio and he has no direct or indirect material interest in any transaction required to be disclosed pursuant to Item 404(a) of Regulation S-K.</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In connection with Mr. Mulroy’s appointment, Eric Loumeau, 57, resigned as interim Chief Financial Officer of AnaptysBio, and the Board appointed Mr. Loumeau as Chief Operating Officer, effective as of July 15, 2020. Mr. Loumeau continues to serve as General Counsel and has served as AnaptysBio’s General Counsel since August 2018.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right="60"/>
        <w:spacing w:after="0" w:line="260" w:lineRule="auto"/>
        <w:rPr>
          <w:sz w:val="20"/>
          <w:szCs w:val="20"/>
          <w:color w:val="auto"/>
        </w:rPr>
      </w:pPr>
      <w:r>
        <w:rPr>
          <w:rFonts w:ascii="Arial" w:cs="Arial" w:eastAsia="Arial" w:hAnsi="Arial"/>
          <w:sz w:val="20"/>
          <w:szCs w:val="20"/>
          <w:color w:val="auto"/>
        </w:rPr>
        <w:t>Cooley LLP, Mintz Levin Cohn Ferris Glovsky and Popeo PC, and Bass, Berry &amp; Sims PLC. Mr. Loumeau received his J.D. from Boalt Hall School of Law at the University of California, Berkeley, and his B.S. in Finance from Brigham Young University.</w:t>
      </w:r>
    </w:p>
    <w:p>
      <w:pPr>
        <w:spacing w:after="0" w:line="204"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connection with Mr. Loumeau’s appointment as Chief Operating Officer, AnaptysBio has granted Mr. Loumeau an option to purchase 10,000 shares of its common stock with an exercise price equal to the fair market value of its common stock on the date of grant, which will vest as to 25% of such option as of the first anniversary of the appointment as Chief Operating Officer, and monthly thereafter for 36 months. The other terms of Mr. Loumeau’s employment remain the same.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press release announcing the foregoing leadership changes is filed as Exhibit 99.01 to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Pr>
          <w:p>
            <w:pPr>
              <w:spacing w:after="0"/>
              <w:rPr>
                <w:sz w:val="20"/>
                <w:szCs w:val="20"/>
                <w:color w:val="auto"/>
              </w:rPr>
            </w:pPr>
            <w:r>
              <w:rPr>
                <w:rFonts w:ascii="Arial" w:cs="Arial" w:eastAsia="Arial" w:hAnsi="Arial"/>
                <w:sz w:val="20"/>
                <w:szCs w:val="20"/>
                <w:color w:val="auto"/>
              </w:rPr>
              <w:t>(d) Exhibits</w:t>
            </w:r>
          </w:p>
        </w:tc>
        <w:tc>
          <w:tcPr>
            <w:tcW w:w="9040" w:type="dxa"/>
            <w:vAlign w:val="bottom"/>
          </w:tcPr>
          <w:p>
            <w:pPr>
              <w:spacing w:after="0"/>
              <w:rPr>
                <w:sz w:val="21"/>
                <w:szCs w:val="21"/>
                <w:color w:val="auto"/>
              </w:rPr>
            </w:pPr>
          </w:p>
        </w:tc>
      </w:tr>
      <w:tr>
        <w:trPr>
          <w:trHeight w:val="513"/>
        </w:trPr>
        <w:tc>
          <w:tcPr>
            <w:tcW w:w="2200" w:type="dxa"/>
            <w:vAlign w:val="bottom"/>
          </w:tcPr>
          <w:p>
            <w:pPr>
              <w:ind w:left="540"/>
              <w:spacing w:after="0"/>
              <w:rPr>
                <w:sz w:val="20"/>
                <w:szCs w:val="20"/>
                <w:color w:val="auto"/>
              </w:rPr>
            </w:pPr>
            <w:r>
              <w:rPr>
                <w:rFonts w:ascii="Arial" w:cs="Arial" w:eastAsia="Arial" w:hAnsi="Arial"/>
                <w:sz w:val="20"/>
                <w:szCs w:val="20"/>
                <w:b w:val="1"/>
                <w:bCs w:val="1"/>
                <w:color w:val="auto"/>
              </w:rPr>
              <w:t>Exhibit Number</w:t>
            </w:r>
          </w:p>
        </w:tc>
        <w:tc>
          <w:tcPr>
            <w:tcW w:w="9040" w:type="dxa"/>
            <w:vAlign w:val="bottom"/>
          </w:tcPr>
          <w:p>
            <w:pPr>
              <w:ind w:left="280"/>
              <w:spacing w:after="0"/>
              <w:rPr>
                <w:sz w:val="20"/>
                <w:szCs w:val="20"/>
                <w:color w:val="auto"/>
              </w:rPr>
            </w:pPr>
            <w:r>
              <w:rPr>
                <w:rFonts w:ascii="Arial" w:cs="Arial" w:eastAsia="Arial" w:hAnsi="Arial"/>
                <w:sz w:val="20"/>
                <w:szCs w:val="20"/>
                <w:b w:val="1"/>
                <w:bCs w:val="1"/>
                <w:color w:val="auto"/>
              </w:rPr>
              <w:t>Exhibit Title or Description</w:t>
            </w:r>
          </w:p>
        </w:tc>
      </w:tr>
      <w:tr>
        <w:trPr>
          <w:trHeight w:val="283"/>
        </w:trPr>
        <w:tc>
          <w:tcPr>
            <w:tcW w:w="2200" w:type="dxa"/>
            <w:vAlign w:val="bottom"/>
          </w:tcPr>
          <w:p>
            <w:pPr>
              <w:jc w:val="center"/>
              <w:ind w:right="401"/>
              <w:spacing w:after="0"/>
              <w:rPr>
                <w:rFonts w:ascii="Arial" w:cs="Arial" w:eastAsia="Arial" w:hAnsi="Arial"/>
                <w:sz w:val="20"/>
                <w:szCs w:val="20"/>
                <w:u w:val="single" w:color="auto"/>
                <w:color w:val="0000FF"/>
              </w:rPr>
            </w:pPr>
            <w:hyperlink w:anchor="page5">
              <w:r>
                <w:rPr>
                  <w:rFonts w:ascii="Arial" w:cs="Arial" w:eastAsia="Arial" w:hAnsi="Arial"/>
                  <w:sz w:val="20"/>
                  <w:szCs w:val="20"/>
                  <w:u w:val="single" w:color="auto"/>
                  <w:color w:val="0000FF"/>
                </w:rPr>
                <w:t>99.01</w:t>
              </w:r>
            </w:hyperlink>
          </w:p>
        </w:tc>
        <w:tc>
          <w:tcPr>
            <w:tcW w:w="9040" w:type="dxa"/>
            <w:vAlign w:val="bottom"/>
          </w:tcPr>
          <w:p>
            <w:pPr>
              <w:ind w:left="280"/>
              <w:spacing w:after="0"/>
              <w:rPr>
                <w:sz w:val="20"/>
                <w:szCs w:val="20"/>
                <w:color w:val="auto"/>
              </w:rPr>
            </w:pPr>
            <w:r>
              <w:rPr>
                <w:rFonts w:ascii="Arial" w:cs="Arial" w:eastAsia="Arial" w:hAnsi="Arial"/>
                <w:sz w:val="20"/>
                <w:szCs w:val="20"/>
                <w:color w:val="auto"/>
              </w:rPr>
              <w:t>Press release dated July 15, 2020</w:t>
            </w:r>
          </w:p>
        </w:tc>
      </w:tr>
      <w:tr>
        <w:trPr>
          <w:trHeight w:val="283"/>
        </w:trPr>
        <w:tc>
          <w:tcPr>
            <w:tcW w:w="2200" w:type="dxa"/>
            <w:vAlign w:val="bottom"/>
          </w:tcPr>
          <w:p>
            <w:pPr>
              <w:jc w:val="right"/>
              <w:ind w:right="501"/>
              <w:spacing w:after="0"/>
              <w:rPr>
                <w:sz w:val="20"/>
                <w:szCs w:val="20"/>
                <w:color w:val="auto"/>
              </w:rPr>
            </w:pPr>
            <w:r>
              <w:rPr>
                <w:rFonts w:ascii="Arial" w:cs="Arial" w:eastAsia="Arial" w:hAnsi="Arial"/>
                <w:sz w:val="20"/>
                <w:szCs w:val="20"/>
                <w:color w:val="auto"/>
              </w:rPr>
              <w:t>104</w:t>
            </w:r>
          </w:p>
        </w:tc>
        <w:tc>
          <w:tcPr>
            <w:tcW w:w="9040" w:type="dxa"/>
            <w:vAlign w:val="bottom"/>
          </w:tcPr>
          <w:p>
            <w:pPr>
              <w:ind w:left="280"/>
              <w:spacing w:after="0"/>
              <w:rPr>
                <w:sz w:val="20"/>
                <w:szCs w:val="20"/>
                <w:color w:val="auto"/>
              </w:rPr>
            </w:pPr>
            <w:r>
              <w:rPr>
                <w:rFonts w:ascii="Arial" w:cs="Arial" w:eastAsia="Arial" w:hAnsi="Arial"/>
                <w:sz w:val="20"/>
                <w:szCs w:val="20"/>
                <w:color w:val="auto"/>
              </w:rPr>
              <w:t>The cover page of this Current Report on Form 8-K, formatted in Inline XBRL.</w:t>
            </w:r>
          </w:p>
        </w:tc>
      </w:tr>
      <w:tr>
        <w:trPr>
          <w:trHeight w:val="786"/>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3" w:name="page4"/>
    <w:bookmarkEnd w:id="3"/>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AnaptysBio, Inc.</w:t>
      </w:r>
    </w:p>
    <w:p>
      <w:pPr>
        <w:spacing w:after="0" w:line="54" w:lineRule="exact"/>
        <w:rPr>
          <w:sz w:val="20"/>
          <w:szCs w:val="20"/>
          <w:color w:val="auto"/>
        </w:rPr>
      </w:pPr>
    </w:p>
    <w:p>
      <w:pPr>
        <w:ind w:left="20"/>
        <w:spacing w:after="0"/>
        <w:tabs>
          <w:tab w:leader="none" w:pos="4240" w:val="left"/>
          <w:tab w:leader="none" w:pos="4780" w:val="left"/>
        </w:tabs>
        <w:rPr>
          <w:sz w:val="20"/>
          <w:szCs w:val="20"/>
          <w:color w:val="auto"/>
        </w:rPr>
      </w:pPr>
      <w:r>
        <w:rPr>
          <w:rFonts w:ascii="Arial" w:cs="Arial" w:eastAsia="Arial" w:hAnsi="Arial"/>
          <w:sz w:val="20"/>
          <w:szCs w:val="20"/>
          <w:color w:val="auto"/>
        </w:rPr>
        <w:t>Date: July 15, 2020</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27305</wp:posOffset>
            </wp:positionV>
            <wp:extent cx="4097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47"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Name: Eric Loumeau</w:t>
      </w:r>
    </w:p>
    <w:p>
      <w:pPr>
        <w:spacing w:after="0" w:line="5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Title: Chief Operating Officer and General Counsel</w:t>
      </w:r>
    </w:p>
    <w:p>
      <w:pPr>
        <w:sectPr>
          <w:pgSz w:w="11900" w:h="16838" w:orient="portrait"/>
          <w:cols w:equalWidth="0" w:num="1">
            <w:col w:w="11240"/>
          </w:cols>
          <w:pgMar w:left="320" w:top="1440"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9"/>
          <w:szCs w:val="29"/>
          <w:b w:val="1"/>
          <w:bCs w:val="1"/>
          <w:color w:val="auto"/>
        </w:rPr>
        <w:t>AnaptysBio Expands Executive Leadership Team</w:t>
      </w:r>
    </w:p>
    <w:p>
      <w:pPr>
        <w:spacing w:after="0" w:line="271"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Appoints Dennis Mulroy as Chief Financial Officer and Eric Loumeau as Chief Operating Officer</w:t>
      </w:r>
    </w:p>
    <w:p>
      <w:pPr>
        <w:spacing w:after="0" w:line="227" w:lineRule="exact"/>
        <w:rPr>
          <w:sz w:val="20"/>
          <w:szCs w:val="20"/>
          <w:color w:val="auto"/>
        </w:rPr>
      </w:pPr>
    </w:p>
    <w:p>
      <w:pPr>
        <w:ind w:right="280"/>
        <w:spacing w:after="0" w:line="289" w:lineRule="auto"/>
        <w:rPr>
          <w:sz w:val="20"/>
          <w:szCs w:val="20"/>
          <w:color w:val="auto"/>
        </w:rPr>
      </w:pPr>
      <w:r>
        <w:rPr>
          <w:rFonts w:ascii="Arial" w:cs="Arial" w:eastAsia="Arial" w:hAnsi="Arial"/>
          <w:sz w:val="18"/>
          <w:szCs w:val="18"/>
          <w:b w:val="1"/>
          <w:bCs w:val="1"/>
          <w:color w:val="auto"/>
        </w:rPr>
        <w:t>SAN DIEGO</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9"/>
          <w:szCs w:val="19"/>
          <w:b w:val="1"/>
          <w:bCs w:val="1"/>
          <w:color w:val="auto"/>
        </w:rPr>
        <w:t>July 15, 2020</w:t>
      </w:r>
      <w:r>
        <w:rPr>
          <w:rFonts w:ascii="Arial" w:cs="Arial" w:eastAsia="Arial" w:hAnsi="Arial"/>
          <w:sz w:val="18"/>
          <w:szCs w:val="18"/>
          <w:b w:val="1"/>
          <w:bCs w:val="1"/>
          <w:color w:val="auto"/>
        </w:rPr>
        <w:t xml:space="preserve">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immuno-oncology indications, today announced the appointment of Dennis Mulroy as Chief Financial Officer and Eric Loumeau as Chief Operating Officer.</w:t>
      </w:r>
    </w:p>
    <w:p>
      <w:pPr>
        <w:spacing w:after="0" w:line="167" w:lineRule="exact"/>
        <w:rPr>
          <w:sz w:val="20"/>
          <w:szCs w:val="20"/>
          <w:color w:val="auto"/>
        </w:rPr>
      </w:pPr>
    </w:p>
    <w:p>
      <w:pPr>
        <w:ind w:right="320"/>
        <w:spacing w:after="0" w:line="325" w:lineRule="auto"/>
        <w:rPr>
          <w:sz w:val="20"/>
          <w:szCs w:val="20"/>
          <w:color w:val="auto"/>
        </w:rPr>
      </w:pPr>
      <w:r>
        <w:rPr>
          <w:rFonts w:ascii="Arial" w:cs="Arial" w:eastAsia="Arial" w:hAnsi="Arial"/>
          <w:sz w:val="16"/>
          <w:szCs w:val="16"/>
          <w:color w:val="auto"/>
        </w:rPr>
        <w:t>“Dennis and Eric are outstanding business and finance leadership additions to our executive team,” said Hamza Suria, president and chief executive officer of AnaptysBio. “The experience these seasoned professionals bring to AnaptysBio will be extremely valuable as we continue to advance our capital-efficient business model focused upon the discovery and development of novel therapeutic antibodies.”</w:t>
      </w:r>
    </w:p>
    <w:p>
      <w:pPr>
        <w:spacing w:after="0" w:line="144" w:lineRule="exact"/>
        <w:rPr>
          <w:sz w:val="20"/>
          <w:szCs w:val="20"/>
          <w:color w:val="auto"/>
        </w:rPr>
      </w:pPr>
    </w:p>
    <w:p>
      <w:pPr>
        <w:ind w:right="120"/>
        <w:spacing w:after="0" w:line="251" w:lineRule="auto"/>
        <w:rPr>
          <w:sz w:val="20"/>
          <w:szCs w:val="20"/>
          <w:color w:val="auto"/>
        </w:rPr>
      </w:pPr>
      <w:r>
        <w:rPr>
          <w:rFonts w:ascii="Arial" w:cs="Arial" w:eastAsia="Arial" w:hAnsi="Arial"/>
          <w:sz w:val="20"/>
          <w:szCs w:val="20"/>
          <w:color w:val="auto"/>
        </w:rPr>
        <w:t>Mr. Mulroy joins AnaptysBio as Chief Financial Officer and will lead the company’s finance, accounting, reporting and investor relations functions. Prior to AnaptysBio, he has served as Chief Financial Officer of La Jolla Pharmaceutical Company, Taxus Cardium Pharmaceuticals Group, Molecular Imaging and SeraCare Life Sciences. Mr. Mulroy began his career as a Certified Public Accountant with Ernst &amp; Young LLP after receiving his B.B.A. degree in accounting from the University of San Diego.</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In his new role as Chief Operating Officer, Mr. Loumeau will lead business strategy, operations and legal affairs at AnaptysBio. He joined AnaptysBio in August 2018 as General Counsel and has also served as Interim Chief Financial Officer since August 2019. Prior to AnaptysBio, Mr. Loumeau has served as General Counsel and Chief Compliance Officer at Otonomy, Chief Financial Officer of Rempex Pharmaceutics and General Counsel at Hollis-Eden Pharmaceuticals. Mr. Loumeau has also practiced securities and corporate law at multiple national law firms. Mr. Loumeau received his J.D. from Boalt Hall School of Law at the University of California, Berkeley, and his B.S. in Finance from Brigham Young University.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emerging immune control mechanisms applicable to inflammation and immuno-oncology indications. The Company’s proprietary anti-inflammatory pipeline includes its anti-IL-33 antibody etokimab, previously referred to as ANB020, for the treatment of chronic rhinosinusitis with nasal polyps, or CRSwNP, and eosinophilic asthma; its anti-IL-36R antibody imsidolimab, previously referred to as ANB019, for the treatment of rare inflammatory diseases, including generalized pustular psoriasis, or GPP, and palmoplantar pustulosis, or PPP; its anti-PD-1 agonist program, ANB030,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partnership with GlaxoSmithKline, including an anti-PD-1 antagonist antibody (dostarlimab, TSR-042), an anti-TIM-3 antagonist antibody (cobolimab, TSR-022) and an anti-LAG-3 antagonist antibody (encelimab, TSR-033), and an inflammation partnership with Bristol-Myers Squibb, including an anti-PD-1 checkpoint agonist antibody (CC-90006) currently in clinical development.</w:t>
      </w:r>
    </w:p>
    <w:p>
      <w:pPr>
        <w:sectPr>
          <w:pgSz w:w="11900" w:h="16838" w:orient="portrait"/>
          <w:cols w:equalWidth="0" w:num="1">
            <w:col w:w="11220"/>
          </w:cols>
          <w:pgMar w:left="320" w:top="1403" w:right="359" w:bottom="1440" w:gutter="0" w:footer="0" w:header="0"/>
        </w:sectPr>
      </w:pPr>
    </w:p>
    <w:bookmarkStart w:id="5" w:name="page6"/>
    <w:bookmarkEnd w:id="5"/>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33" w:lineRule="auto"/>
        <w:rPr>
          <w:sz w:val="20"/>
          <w:szCs w:val="20"/>
          <w:color w:val="auto"/>
        </w:rPr>
      </w:pPr>
      <w:r>
        <w:rPr>
          <w:rFonts w:ascii="Arial" w:cs="Arial" w:eastAsia="Arial" w:hAnsi="Arial"/>
          <w:sz w:val="20"/>
          <w:szCs w:val="20"/>
          <w:color w:val="auto"/>
        </w:rPr>
        <w:t>Dennis Mulroy</w:t>
      </w:r>
    </w:p>
    <w:p>
      <w:pPr>
        <w:spacing w:after="0" w:line="226" w:lineRule="auto"/>
        <w:rPr>
          <w:sz w:val="20"/>
          <w:szCs w:val="20"/>
          <w:color w:val="auto"/>
        </w:rPr>
      </w:pPr>
      <w:r>
        <w:rPr>
          <w:rFonts w:ascii="Arial" w:cs="Arial" w:eastAsia="Arial" w:hAnsi="Arial"/>
          <w:sz w:val="20"/>
          <w:szCs w:val="20"/>
          <w:color w:val="auto"/>
        </w:rPr>
        <w:t>AnaptysBio, Inc.</w:t>
      </w:r>
    </w:p>
    <w:p>
      <w:pPr>
        <w:spacing w:after="0" w:line="225" w:lineRule="auto"/>
        <w:rPr>
          <w:sz w:val="20"/>
          <w:szCs w:val="20"/>
          <w:color w:val="auto"/>
        </w:rPr>
      </w:pPr>
      <w:r>
        <w:rPr>
          <w:rFonts w:ascii="Arial" w:cs="Arial" w:eastAsia="Arial" w:hAnsi="Arial"/>
          <w:sz w:val="20"/>
          <w:szCs w:val="20"/>
          <w:color w:val="auto"/>
        </w:rPr>
        <w:t>858.732.0201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dmulroy@anaptysbio.com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2020-07-15T07:36:59Z</dcterms:created>
  <dcterms:modified xsi:type="dcterms:W3CDTF">2020-07-15T07:36:59Z</dcterms:modified>
</cp:coreProperties>
</file>