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2477770</wp:posOffset>
            </wp:positionH>
            <wp:positionV relativeFrom="page">
              <wp:posOffset>506730</wp:posOffset>
            </wp:positionV>
            <wp:extent cx="259397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93975" cy="6985"/>
                    </a:xfrm>
                    <a:prstGeom prst="rect">
                      <a:avLst/>
                    </a:prstGeom>
                    <a:noFill/>
                  </pic:spPr>
                </pic:pic>
              </a:graphicData>
            </a:graphic>
          </wp:anchor>
        </w:drawing>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SECURITIES AND EXCHANGE COMMISSION</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2287270</wp:posOffset>
            </wp:positionH>
            <wp:positionV relativeFrom="paragraph">
              <wp:posOffset>92075</wp:posOffset>
            </wp:positionV>
            <wp:extent cx="259397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93975" cy="6985"/>
                    </a:xfrm>
                    <a:prstGeom prst="rect">
                      <a:avLst/>
                    </a:prstGeom>
                    <a:noFill/>
                  </pic:spPr>
                </pic:pic>
              </a:graphicData>
            </a:graphic>
          </wp:anchor>
        </w:drawing>
      </w:r>
    </w:p>
    <w:p>
      <w:pPr>
        <w:spacing w:after="0" w:line="202"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2287270</wp:posOffset>
            </wp:positionH>
            <wp:positionV relativeFrom="paragraph">
              <wp:posOffset>100965</wp:posOffset>
            </wp:positionV>
            <wp:extent cx="259397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3975" cy="6985"/>
                    </a:xfrm>
                    <a:prstGeom prst="rect">
                      <a:avLst/>
                    </a:prstGeom>
                    <a:noFill/>
                  </pic:spPr>
                </pic:pic>
              </a:graphicData>
            </a:graphic>
          </wp:anchor>
        </w:drawing>
      </w:r>
    </w:p>
    <w:p>
      <w:pPr>
        <w:spacing w:after="0" w:line="235" w:lineRule="exact"/>
        <w:rPr>
          <w:sz w:val="24"/>
          <w:szCs w:val="24"/>
          <w:color w:val="auto"/>
        </w:rPr>
      </w:pPr>
    </w:p>
    <w:p>
      <w:pPr>
        <w:ind w:left="440" w:hanging="421"/>
        <w:spacing w:after="0"/>
        <w:tabs>
          <w:tab w:leader="none" w:pos="440" w:val="left"/>
        </w:tabs>
        <w:numPr>
          <w:ilvl w:val="0"/>
          <w:numId w:val="1"/>
        </w:numPr>
        <w:rPr>
          <w:rFonts w:ascii="MS PGothic" w:cs="MS PGothic" w:eastAsia="MS PGothic" w:hAnsi="MS PGothic"/>
          <w:sz w:val="20"/>
          <w:szCs w:val="20"/>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95"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 the quarterly period ended September 30, 2022</w:t>
      </w:r>
    </w:p>
    <w:p>
      <w:pPr>
        <w:spacing w:after="0" w:line="5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OR</w:t>
      </w:r>
    </w:p>
    <w:p>
      <w:pPr>
        <w:spacing w:after="0" w:line="109" w:lineRule="exact"/>
        <w:rPr>
          <w:sz w:val="24"/>
          <w:szCs w:val="24"/>
          <w:color w:val="auto"/>
        </w:rPr>
      </w:pPr>
    </w:p>
    <w:p>
      <w:pPr>
        <w:ind w:left="440" w:hanging="421"/>
        <w:spacing w:after="0"/>
        <w:tabs>
          <w:tab w:leader="none" w:pos="4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78" w:lineRule="exact"/>
        <w:rPr>
          <w:sz w:val="24"/>
          <w:szCs w:val="24"/>
          <w:color w:val="auto"/>
        </w:rPr>
      </w:pPr>
    </w:p>
    <w:tbl>
      <w:tblPr>
        <w:tblLayout w:type="fixed"/>
        <w:tblInd w:w="3880" w:type="dxa"/>
        <w:tblCellMar>
          <w:top w:w="0" w:type="dxa"/>
          <w:left w:w="0" w:type="dxa"/>
          <w:bottom w:w="0" w:type="dxa"/>
          <w:right w:w="0" w:type="dxa"/>
        </w:tblCellMar>
      </w:tblPr>
      <w:tr>
        <w:trPr>
          <w:trHeight w:val="161"/>
        </w:trPr>
        <w:tc>
          <w:tcPr>
            <w:tcW w:w="1860" w:type="dxa"/>
            <w:vAlign w:val="bottom"/>
          </w:tcPr>
          <w:p>
            <w:pPr>
              <w:spacing w:after="0"/>
              <w:rPr>
                <w:sz w:val="20"/>
                <w:szCs w:val="20"/>
                <w:color w:val="auto"/>
              </w:rPr>
            </w:pPr>
            <w:r>
              <w:rPr>
                <w:rFonts w:ascii="Arial" w:cs="Arial" w:eastAsia="Arial" w:hAnsi="Arial"/>
                <w:sz w:val="14"/>
                <w:szCs w:val="14"/>
                <w:b w:val="1"/>
                <w:bCs w:val="1"/>
                <w:color w:val="auto"/>
                <w:w w:val="93"/>
              </w:rPr>
              <w:t>For the transition period from</w:t>
            </w:r>
          </w:p>
        </w:tc>
        <w:tc>
          <w:tcPr>
            <w:tcW w:w="700" w:type="dxa"/>
            <w:vAlign w:val="bottom"/>
            <w:tcBorders>
              <w:bottom w:val="single" w:sz="8" w:color="auto"/>
            </w:tcBorders>
          </w:tcPr>
          <w:p>
            <w:pPr>
              <w:spacing w:after="0"/>
              <w:rPr>
                <w:sz w:val="14"/>
                <w:szCs w:val="14"/>
                <w:color w:val="auto"/>
              </w:rPr>
            </w:pP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to</w:t>
            </w:r>
          </w:p>
        </w:tc>
        <w:tc>
          <w:tcPr>
            <w:tcW w:w="740" w:type="dxa"/>
            <w:vAlign w:val="bottom"/>
            <w:tcBorders>
              <w:bottom w:val="single" w:sz="8" w:color="auto"/>
            </w:tcBorders>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w w:val="70"/>
              </w:rPr>
              <w:t>.</w:t>
            </w:r>
          </w:p>
        </w:tc>
      </w:tr>
      <w:tr>
        <w:trPr>
          <w:trHeight w:val="266"/>
        </w:trPr>
        <w:tc>
          <w:tcPr>
            <w:tcW w:w="3500" w:type="dxa"/>
            <w:vAlign w:val="bottom"/>
            <w:gridSpan w:val="4"/>
          </w:tcPr>
          <w:p>
            <w:pPr>
              <w:ind w:left="640"/>
              <w:spacing w:after="0"/>
              <w:rPr>
                <w:sz w:val="20"/>
                <w:szCs w:val="20"/>
                <w:color w:val="auto"/>
              </w:rPr>
            </w:pPr>
            <w:r>
              <w:rPr>
                <w:rFonts w:ascii="Arial" w:cs="Arial" w:eastAsia="Arial" w:hAnsi="Arial"/>
                <w:sz w:val="14"/>
                <w:szCs w:val="14"/>
                <w:b w:val="1"/>
                <w:bCs w:val="1"/>
                <w:color w:val="auto"/>
              </w:rPr>
              <w:t>Commission File Number: 001-37985</w:t>
            </w:r>
          </w:p>
        </w:tc>
        <w:tc>
          <w:tcPr>
            <w:tcW w:w="4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2287270</wp:posOffset>
            </wp:positionH>
            <wp:positionV relativeFrom="paragraph">
              <wp:posOffset>81280</wp:posOffset>
            </wp:positionV>
            <wp:extent cx="259397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3975" cy="6985"/>
                    </a:xfrm>
                    <a:prstGeom prst="rect">
                      <a:avLst/>
                    </a:prstGeom>
                    <a:noFill/>
                  </pic:spPr>
                </pic:pic>
              </a:graphicData>
            </a:graphic>
          </wp:anchor>
        </w:drawing>
      </w:r>
    </w:p>
    <w:p>
      <w:pPr>
        <w:spacing w:after="0" w:line="171" w:lineRule="exact"/>
        <w:rPr>
          <w:sz w:val="24"/>
          <w:szCs w:val="24"/>
          <w:color w:val="auto"/>
        </w:rPr>
      </w:pPr>
    </w:p>
    <w:tbl>
      <w:tblPr>
        <w:tblLayout w:type="fixed"/>
        <w:tblInd w:w="10" w:type="dxa"/>
        <w:tblCellMar>
          <w:top w:w="0" w:type="dxa"/>
          <w:left w:w="0" w:type="dxa"/>
          <w:bottom w:w="0" w:type="dxa"/>
          <w:right w:w="0" w:type="dxa"/>
        </w:tblCellMar>
      </w:tblPr>
      <w:tr>
        <w:trPr>
          <w:trHeight w:val="314"/>
        </w:trPr>
        <w:tc>
          <w:tcPr>
            <w:tcW w:w="3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80" w:type="dxa"/>
            <w:vAlign w:val="bottom"/>
            <w:gridSpan w:val="2"/>
          </w:tcPr>
          <w:p>
            <w:pPr>
              <w:jc w:val="center"/>
              <w:ind w:right="500"/>
              <w:spacing w:after="0"/>
              <w:rPr>
                <w:sz w:val="20"/>
                <w:szCs w:val="20"/>
                <w:color w:val="auto"/>
              </w:rPr>
            </w:pPr>
            <w:r>
              <w:rPr>
                <w:rFonts w:ascii="Arial" w:cs="Arial" w:eastAsia="Arial" w:hAnsi="Arial"/>
                <w:sz w:val="25"/>
                <w:szCs w:val="25"/>
                <w:b w:val="1"/>
                <w:bCs w:val="1"/>
                <w:color w:val="auto"/>
              </w:rPr>
              <w:t>ANAPTYSBIO, INC.</w:t>
            </w:r>
          </w:p>
        </w:tc>
        <w:tc>
          <w:tcPr>
            <w:tcW w:w="3620" w:type="dxa"/>
            <w:vAlign w:val="bottom"/>
          </w:tcPr>
          <w:p>
            <w:pPr>
              <w:spacing w:after="0"/>
              <w:rPr>
                <w:sz w:val="24"/>
                <w:szCs w:val="24"/>
                <w:color w:val="auto"/>
              </w:rPr>
            </w:pPr>
          </w:p>
        </w:tc>
      </w:tr>
      <w:tr>
        <w:trPr>
          <w:trHeight w:val="184"/>
        </w:trPr>
        <w:tc>
          <w:tcPr>
            <w:tcW w:w="3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(Exact name of registrant as specified in its charter)</w:t>
            </w:r>
          </w:p>
        </w:tc>
        <w:tc>
          <w:tcPr>
            <w:tcW w:w="3620" w:type="dxa"/>
            <w:vAlign w:val="bottom"/>
          </w:tcPr>
          <w:p>
            <w:pPr>
              <w:spacing w:after="0"/>
              <w:rPr>
                <w:sz w:val="16"/>
                <w:szCs w:val="16"/>
                <w:color w:val="auto"/>
              </w:rPr>
            </w:pPr>
          </w:p>
        </w:tc>
      </w:tr>
      <w:tr>
        <w:trPr>
          <w:trHeight w:val="138"/>
        </w:trPr>
        <w:tc>
          <w:tcPr>
            <w:tcW w:w="36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0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620" w:type="dxa"/>
            <w:vAlign w:val="bottom"/>
          </w:tcPr>
          <w:p>
            <w:pPr>
              <w:spacing w:after="0"/>
              <w:rPr>
                <w:sz w:val="12"/>
                <w:szCs w:val="12"/>
                <w:color w:val="auto"/>
              </w:rPr>
            </w:pPr>
          </w:p>
        </w:tc>
      </w:tr>
      <w:tr>
        <w:trPr>
          <w:trHeight w:val="249"/>
        </w:trPr>
        <w:tc>
          <w:tcPr>
            <w:tcW w:w="3900" w:type="dxa"/>
            <w:vAlign w:val="bottom"/>
            <w:gridSpan w:val="2"/>
          </w:tcPr>
          <w:p>
            <w:pPr>
              <w:jc w:val="center"/>
              <w:ind w:left="2095"/>
              <w:spacing w:after="0"/>
              <w:rPr>
                <w:sz w:val="20"/>
                <w:szCs w:val="20"/>
                <w:color w:val="auto"/>
              </w:rPr>
            </w:pPr>
            <w:r>
              <w:rPr>
                <w:rFonts w:ascii="Arial" w:cs="Arial" w:eastAsia="Arial" w:hAnsi="Arial"/>
                <w:sz w:val="14"/>
                <w:szCs w:val="14"/>
                <w:b w:val="1"/>
                <w:bCs w:val="1"/>
                <w:color w:val="auto"/>
                <w:w w:val="94"/>
              </w:rPr>
              <w:t>Delaware</w:t>
            </w:r>
          </w:p>
        </w:tc>
        <w:tc>
          <w:tcPr>
            <w:tcW w:w="2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20" w:type="dxa"/>
            <w:vAlign w:val="bottom"/>
          </w:tcPr>
          <w:p>
            <w:pPr>
              <w:jc w:val="center"/>
              <w:ind w:right="2235"/>
              <w:spacing w:after="0"/>
              <w:rPr>
                <w:sz w:val="20"/>
                <w:szCs w:val="20"/>
                <w:color w:val="auto"/>
              </w:rPr>
            </w:pPr>
            <w:r>
              <w:rPr>
                <w:rFonts w:ascii="Arial" w:cs="Arial" w:eastAsia="Arial" w:hAnsi="Arial"/>
                <w:sz w:val="14"/>
                <w:szCs w:val="14"/>
                <w:b w:val="1"/>
                <w:bCs w:val="1"/>
                <w:color w:val="auto"/>
                <w:w w:val="90"/>
              </w:rPr>
              <w:t>20-3828755</w:t>
            </w:r>
          </w:p>
        </w:tc>
      </w:tr>
      <w:tr>
        <w:trPr>
          <w:trHeight w:val="117"/>
        </w:trPr>
        <w:tc>
          <w:tcPr>
            <w:tcW w:w="3900" w:type="dxa"/>
            <w:vAlign w:val="bottom"/>
            <w:gridSpan w:val="2"/>
          </w:tcPr>
          <w:p>
            <w:pPr>
              <w:jc w:val="center"/>
              <w:ind w:left="2095"/>
              <w:spacing w:after="0" w:line="117" w:lineRule="exact"/>
              <w:rPr>
                <w:sz w:val="20"/>
                <w:szCs w:val="20"/>
                <w:color w:val="auto"/>
              </w:rPr>
            </w:pPr>
            <w:r>
              <w:rPr>
                <w:rFonts w:ascii="Arial" w:cs="Arial" w:eastAsia="Arial" w:hAnsi="Arial"/>
                <w:sz w:val="11"/>
                <w:szCs w:val="11"/>
                <w:b w:val="1"/>
                <w:bCs w:val="1"/>
                <w:color w:val="auto"/>
                <w:w w:val="94"/>
              </w:rPr>
              <w:t>(State or other jurisdiction of</w:t>
            </w:r>
          </w:p>
        </w:tc>
        <w:tc>
          <w:tcPr>
            <w:tcW w:w="20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20" w:type="dxa"/>
            <w:vAlign w:val="bottom"/>
          </w:tcPr>
          <w:p>
            <w:pPr>
              <w:jc w:val="center"/>
              <w:ind w:right="2215"/>
              <w:spacing w:after="0" w:line="117" w:lineRule="exact"/>
              <w:rPr>
                <w:sz w:val="20"/>
                <w:szCs w:val="20"/>
                <w:color w:val="auto"/>
              </w:rPr>
            </w:pPr>
            <w:r>
              <w:rPr>
                <w:rFonts w:ascii="Arial" w:cs="Arial" w:eastAsia="Arial" w:hAnsi="Arial"/>
                <w:sz w:val="11"/>
                <w:szCs w:val="11"/>
                <w:b w:val="1"/>
                <w:bCs w:val="1"/>
                <w:color w:val="auto"/>
                <w:w w:val="97"/>
              </w:rPr>
              <w:t>(I.R.S. Employer</w:t>
            </w:r>
          </w:p>
        </w:tc>
      </w:tr>
      <w:tr>
        <w:trPr>
          <w:trHeight w:val="147"/>
        </w:trPr>
        <w:tc>
          <w:tcPr>
            <w:tcW w:w="3900" w:type="dxa"/>
            <w:vAlign w:val="bottom"/>
            <w:gridSpan w:val="2"/>
          </w:tcPr>
          <w:p>
            <w:pPr>
              <w:jc w:val="center"/>
              <w:ind w:left="2115"/>
              <w:spacing w:after="0"/>
              <w:rPr>
                <w:sz w:val="20"/>
                <w:szCs w:val="20"/>
                <w:color w:val="auto"/>
              </w:rPr>
            </w:pPr>
            <w:r>
              <w:rPr>
                <w:rFonts w:ascii="Arial" w:cs="Arial" w:eastAsia="Arial" w:hAnsi="Arial"/>
                <w:sz w:val="11"/>
                <w:szCs w:val="11"/>
                <w:b w:val="1"/>
                <w:bCs w:val="1"/>
                <w:color w:val="auto"/>
                <w:w w:val="94"/>
              </w:rPr>
              <w:t>incorporation or organization)</w:t>
            </w:r>
          </w:p>
        </w:tc>
        <w:tc>
          <w:tcPr>
            <w:tcW w:w="2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20" w:type="dxa"/>
            <w:vAlign w:val="bottom"/>
          </w:tcPr>
          <w:p>
            <w:pPr>
              <w:jc w:val="center"/>
              <w:ind w:right="2235"/>
              <w:spacing w:after="0"/>
              <w:rPr>
                <w:sz w:val="20"/>
                <w:szCs w:val="20"/>
                <w:color w:val="auto"/>
              </w:rPr>
            </w:pPr>
            <w:r>
              <w:rPr>
                <w:rFonts w:ascii="Arial" w:cs="Arial" w:eastAsia="Arial" w:hAnsi="Arial"/>
                <w:sz w:val="11"/>
                <w:szCs w:val="11"/>
                <w:b w:val="1"/>
                <w:bCs w:val="1"/>
                <w:color w:val="auto"/>
                <w:w w:val="95"/>
              </w:rPr>
              <w:t>Identification Number)</w:t>
            </w:r>
          </w:p>
        </w:tc>
      </w:tr>
      <w:tr>
        <w:trPr>
          <w:trHeight w:val="238"/>
        </w:trPr>
        <w:tc>
          <w:tcPr>
            <w:tcW w:w="3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10770 Wateridge Circle, Suite 210</w:t>
            </w:r>
          </w:p>
        </w:tc>
        <w:tc>
          <w:tcPr>
            <w:tcW w:w="3620" w:type="dxa"/>
            <w:vAlign w:val="bottom"/>
          </w:tcPr>
          <w:p>
            <w:pPr>
              <w:spacing w:after="0"/>
              <w:rPr>
                <w:sz w:val="20"/>
                <w:szCs w:val="20"/>
                <w:color w:val="auto"/>
              </w:rPr>
            </w:pPr>
          </w:p>
        </w:tc>
      </w:tr>
      <w:tr>
        <w:trPr>
          <w:trHeight w:val="167"/>
        </w:trPr>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5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San Diego, CA 92121</w:t>
            </w:r>
          </w:p>
        </w:tc>
        <w:tc>
          <w:tcPr>
            <w:tcW w:w="3620" w:type="dxa"/>
            <w:vAlign w:val="bottom"/>
          </w:tcPr>
          <w:p>
            <w:pPr>
              <w:spacing w:after="0"/>
              <w:rPr>
                <w:sz w:val="14"/>
                <w:szCs w:val="14"/>
                <w:color w:val="auto"/>
              </w:rPr>
            </w:pPr>
          </w:p>
        </w:tc>
      </w:tr>
      <w:tr>
        <w:trPr>
          <w:trHeight w:val="147"/>
        </w:trPr>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580" w:type="dxa"/>
            <w:vAlign w:val="bottom"/>
            <w:gridSpan w:val="2"/>
          </w:tcPr>
          <w:p>
            <w:pPr>
              <w:jc w:val="center"/>
              <w:ind w:right="480"/>
              <w:spacing w:after="0"/>
              <w:rPr>
                <w:sz w:val="20"/>
                <w:szCs w:val="20"/>
                <w:color w:val="auto"/>
              </w:rPr>
            </w:pPr>
            <w:r>
              <w:rPr>
                <w:rFonts w:ascii="Arial" w:cs="Arial" w:eastAsia="Arial" w:hAnsi="Arial"/>
                <w:sz w:val="11"/>
                <w:szCs w:val="11"/>
                <w:b w:val="1"/>
                <w:bCs w:val="1"/>
                <w:color w:val="auto"/>
                <w:w w:val="90"/>
              </w:rPr>
              <w:t>(Address of principal executive offices and zip code)</w:t>
            </w:r>
          </w:p>
        </w:tc>
        <w:tc>
          <w:tcPr>
            <w:tcW w:w="3620" w:type="dxa"/>
            <w:vAlign w:val="bottom"/>
          </w:tcPr>
          <w:p>
            <w:pPr>
              <w:spacing w:after="0"/>
              <w:rPr>
                <w:sz w:val="12"/>
                <w:szCs w:val="12"/>
                <w:color w:val="auto"/>
              </w:rPr>
            </w:pPr>
          </w:p>
        </w:tc>
      </w:tr>
      <w:tr>
        <w:trPr>
          <w:trHeight w:val="246"/>
        </w:trPr>
        <w:tc>
          <w:tcPr>
            <w:tcW w:w="3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20" w:type="dxa"/>
            <w:vAlign w:val="bottom"/>
            <w:gridSpan w:val="2"/>
          </w:tcPr>
          <w:p>
            <w:pPr>
              <w:jc w:val="center"/>
              <w:ind w:left="189"/>
              <w:spacing w:after="0"/>
              <w:rPr>
                <w:sz w:val="20"/>
                <w:szCs w:val="20"/>
                <w:color w:val="auto"/>
              </w:rPr>
            </w:pPr>
            <w:r>
              <w:rPr>
                <w:rFonts w:ascii="Arial" w:cs="Arial" w:eastAsia="Arial" w:hAnsi="Arial"/>
                <w:sz w:val="14"/>
                <w:szCs w:val="14"/>
                <w:b w:val="1"/>
                <w:bCs w:val="1"/>
                <w:color w:val="auto"/>
                <w:w w:val="91"/>
              </w:rPr>
              <w:t>(858) 362-6295</w:t>
            </w:r>
          </w:p>
        </w:tc>
        <w:tc>
          <w:tcPr>
            <w:tcW w:w="560" w:type="dxa"/>
            <w:vAlign w:val="bottom"/>
          </w:tcPr>
          <w:p>
            <w:pPr>
              <w:spacing w:after="0"/>
              <w:rPr>
                <w:sz w:val="21"/>
                <w:szCs w:val="21"/>
                <w:color w:val="auto"/>
              </w:rPr>
            </w:pPr>
          </w:p>
        </w:tc>
        <w:tc>
          <w:tcPr>
            <w:tcW w:w="3620" w:type="dxa"/>
            <w:vAlign w:val="bottom"/>
          </w:tcPr>
          <w:p>
            <w:pPr>
              <w:spacing w:after="0"/>
              <w:rPr>
                <w:sz w:val="21"/>
                <w:szCs w:val="21"/>
                <w:color w:val="auto"/>
              </w:rPr>
            </w:pPr>
          </w:p>
        </w:tc>
      </w:tr>
      <w:tr>
        <w:trPr>
          <w:trHeight w:val="147"/>
        </w:trPr>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580" w:type="dxa"/>
            <w:vAlign w:val="bottom"/>
            <w:gridSpan w:val="2"/>
          </w:tcPr>
          <w:p>
            <w:pPr>
              <w:jc w:val="center"/>
              <w:ind w:right="500"/>
              <w:spacing w:after="0"/>
              <w:rPr>
                <w:sz w:val="20"/>
                <w:szCs w:val="20"/>
                <w:color w:val="auto"/>
              </w:rPr>
            </w:pPr>
            <w:r>
              <w:rPr>
                <w:rFonts w:ascii="Arial" w:cs="Arial" w:eastAsia="Arial" w:hAnsi="Arial"/>
                <w:sz w:val="11"/>
                <w:szCs w:val="11"/>
                <w:b w:val="1"/>
                <w:bCs w:val="1"/>
                <w:color w:val="auto"/>
                <w:w w:val="91"/>
              </w:rPr>
              <w:t>(Registrant’s telephone number, including area code)</w:t>
            </w:r>
          </w:p>
        </w:tc>
        <w:tc>
          <w:tcPr>
            <w:tcW w:w="3620" w:type="dxa"/>
            <w:vAlign w:val="bottom"/>
          </w:tcPr>
          <w:p>
            <w:pPr>
              <w:spacing w:after="0"/>
              <w:rPr>
                <w:sz w:val="12"/>
                <w:szCs w:val="12"/>
                <w:color w:val="auto"/>
              </w:rPr>
            </w:pPr>
          </w:p>
        </w:tc>
      </w:tr>
      <w:tr>
        <w:trPr>
          <w:trHeight w:val="252"/>
        </w:trPr>
        <w:tc>
          <w:tcPr>
            <w:tcW w:w="36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3620" w:type="dxa"/>
            <w:vAlign w:val="bottom"/>
          </w:tcPr>
          <w:p>
            <w:pPr>
              <w:spacing w:after="0"/>
              <w:rPr>
                <w:sz w:val="21"/>
                <w:szCs w:val="21"/>
                <w:color w:val="auto"/>
              </w:rPr>
            </w:pPr>
          </w:p>
        </w:tc>
      </w:tr>
      <w:tr>
        <w:trPr>
          <w:trHeight w:val="245"/>
        </w:trPr>
        <w:tc>
          <w:tcPr>
            <w:tcW w:w="3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780" w:type="dxa"/>
            <w:vAlign w:val="bottom"/>
            <w:gridSpan w:val="3"/>
          </w:tcPr>
          <w:p>
            <w:pPr>
              <w:jc w:val="center"/>
              <w:ind w:right="280"/>
              <w:spacing w:after="0"/>
              <w:rPr>
                <w:sz w:val="20"/>
                <w:szCs w:val="20"/>
                <w:color w:val="auto"/>
              </w:rPr>
            </w:pPr>
            <w:r>
              <w:rPr>
                <w:rFonts w:ascii="Arial" w:cs="Arial" w:eastAsia="Arial" w:hAnsi="Arial"/>
                <w:sz w:val="14"/>
                <w:szCs w:val="14"/>
                <w:color w:val="auto"/>
                <w:w w:val="91"/>
              </w:rPr>
              <w:t>Securities registered pursuant to Section 12(b) of the Act:</w:t>
            </w:r>
          </w:p>
        </w:tc>
        <w:tc>
          <w:tcPr>
            <w:tcW w:w="3620" w:type="dxa"/>
            <w:vAlign w:val="bottom"/>
          </w:tcPr>
          <w:p>
            <w:pPr>
              <w:spacing w:after="0"/>
              <w:rPr>
                <w:sz w:val="21"/>
                <w:szCs w:val="21"/>
                <w:color w:val="auto"/>
              </w:rPr>
            </w:pPr>
          </w:p>
        </w:tc>
      </w:tr>
      <w:tr>
        <w:trPr>
          <w:trHeight w:val="107"/>
        </w:trPr>
        <w:tc>
          <w:tcPr>
            <w:tcW w:w="3900" w:type="dxa"/>
            <w:vAlign w:val="bottom"/>
            <w:tcBorders>
              <w:bottom w:val="single" w:sz="8" w:color="auto"/>
            </w:tcBorders>
            <w:gridSpan w:val="2"/>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r>
      <w:tr>
        <w:trPr>
          <w:trHeight w:val="171"/>
        </w:trPr>
        <w:tc>
          <w:tcPr>
            <w:tcW w:w="3900" w:type="dxa"/>
            <w:vAlign w:val="bottom"/>
            <w:tcBorders>
              <w:left w:val="single" w:sz="8" w:color="auto"/>
              <w:bottom w:val="single" w:sz="8" w:color="auto"/>
            </w:tcBorders>
            <w:gridSpan w:val="2"/>
          </w:tcPr>
          <w:p>
            <w:pPr>
              <w:jc w:val="center"/>
              <w:ind w:left="135"/>
              <w:spacing w:after="0"/>
              <w:rPr>
                <w:sz w:val="20"/>
                <w:szCs w:val="20"/>
                <w:color w:val="auto"/>
              </w:rPr>
            </w:pPr>
            <w:r>
              <w:rPr>
                <w:rFonts w:ascii="Arial" w:cs="Arial" w:eastAsia="Arial" w:hAnsi="Arial"/>
                <w:sz w:val="14"/>
                <w:szCs w:val="14"/>
                <w:color w:val="auto"/>
                <w:w w:val="90"/>
              </w:rPr>
              <w:t>Title of each class</w:t>
            </w:r>
          </w:p>
        </w:tc>
        <w:tc>
          <w:tcPr>
            <w:tcW w:w="200" w:type="dxa"/>
            <w:vAlign w:val="bottom"/>
            <w:tcBorders>
              <w:bottom w:val="single" w:sz="8" w:color="auto"/>
              <w:right w:val="single" w:sz="8" w:color="auto"/>
            </w:tcBorders>
          </w:tcPr>
          <w:p>
            <w:pPr>
              <w:spacing w:after="0"/>
              <w:rPr>
                <w:sz w:val="14"/>
                <w:szCs w:val="14"/>
                <w:color w:val="auto"/>
              </w:rPr>
            </w:pPr>
          </w:p>
        </w:tc>
        <w:tc>
          <w:tcPr>
            <w:tcW w:w="3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Trading Symbol(s)</w:t>
            </w:r>
          </w:p>
        </w:tc>
        <w:tc>
          <w:tcPr>
            <w:tcW w:w="560" w:type="dxa"/>
            <w:vAlign w:val="bottom"/>
            <w:tcBorders>
              <w:bottom w:val="single" w:sz="8" w:color="auto"/>
            </w:tcBorders>
          </w:tcPr>
          <w:p>
            <w:pPr>
              <w:spacing w:after="0"/>
              <w:rPr>
                <w:sz w:val="14"/>
                <w:szCs w:val="14"/>
                <w:color w:val="auto"/>
              </w:rPr>
            </w:pPr>
          </w:p>
        </w:tc>
        <w:tc>
          <w:tcPr>
            <w:tcW w:w="3620" w:type="dxa"/>
            <w:vAlign w:val="bottom"/>
            <w:tcBorders>
              <w:bottom w:val="single" w:sz="8" w:color="auto"/>
              <w:right w:val="single" w:sz="8" w:color="auto"/>
            </w:tcBorders>
          </w:tcPr>
          <w:p>
            <w:pPr>
              <w:jc w:val="center"/>
              <w:ind w:right="515"/>
              <w:spacing w:after="0"/>
              <w:rPr>
                <w:sz w:val="20"/>
                <w:szCs w:val="20"/>
                <w:color w:val="auto"/>
              </w:rPr>
            </w:pPr>
            <w:r>
              <w:rPr>
                <w:rFonts w:ascii="Arial" w:cs="Arial" w:eastAsia="Arial" w:hAnsi="Arial"/>
                <w:sz w:val="14"/>
                <w:szCs w:val="14"/>
                <w:color w:val="auto"/>
                <w:w w:val="90"/>
              </w:rPr>
              <w:t>Name of each exchange on which registered</w:t>
            </w:r>
          </w:p>
        </w:tc>
      </w:tr>
      <w:tr>
        <w:trPr>
          <w:trHeight w:val="171"/>
        </w:trPr>
        <w:tc>
          <w:tcPr>
            <w:tcW w:w="3900" w:type="dxa"/>
            <w:vAlign w:val="bottom"/>
            <w:tcBorders>
              <w:left w:val="single" w:sz="8" w:color="auto"/>
              <w:bottom w:val="single" w:sz="8" w:color="auto"/>
            </w:tcBorders>
            <w:gridSpan w:val="2"/>
          </w:tcPr>
          <w:p>
            <w:pPr>
              <w:jc w:val="center"/>
              <w:ind w:left="135"/>
              <w:spacing w:after="0"/>
              <w:rPr>
                <w:sz w:val="20"/>
                <w:szCs w:val="20"/>
                <w:color w:val="auto"/>
              </w:rPr>
            </w:pPr>
            <w:r>
              <w:rPr>
                <w:rFonts w:ascii="Arial" w:cs="Arial" w:eastAsia="Arial" w:hAnsi="Arial"/>
                <w:sz w:val="14"/>
                <w:szCs w:val="14"/>
                <w:color w:val="auto"/>
                <w:w w:val="91"/>
              </w:rPr>
              <w:t>Common Stock, $0.001 par value</w:t>
            </w:r>
          </w:p>
        </w:tc>
        <w:tc>
          <w:tcPr>
            <w:tcW w:w="200" w:type="dxa"/>
            <w:vAlign w:val="bottom"/>
            <w:tcBorders>
              <w:bottom w:val="single" w:sz="8" w:color="auto"/>
              <w:right w:val="single" w:sz="8" w:color="auto"/>
            </w:tcBorders>
          </w:tcPr>
          <w:p>
            <w:pPr>
              <w:spacing w:after="0"/>
              <w:rPr>
                <w:sz w:val="14"/>
                <w:szCs w:val="14"/>
                <w:color w:val="auto"/>
              </w:rPr>
            </w:pPr>
          </w:p>
        </w:tc>
        <w:tc>
          <w:tcPr>
            <w:tcW w:w="3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ANAB</w:t>
            </w:r>
          </w:p>
        </w:tc>
        <w:tc>
          <w:tcPr>
            <w:tcW w:w="560" w:type="dxa"/>
            <w:vAlign w:val="bottom"/>
            <w:tcBorders>
              <w:bottom w:val="single" w:sz="8" w:color="auto"/>
            </w:tcBorders>
          </w:tcPr>
          <w:p>
            <w:pPr>
              <w:spacing w:after="0"/>
              <w:rPr>
                <w:sz w:val="14"/>
                <w:szCs w:val="14"/>
                <w:color w:val="auto"/>
              </w:rPr>
            </w:pPr>
          </w:p>
        </w:tc>
        <w:tc>
          <w:tcPr>
            <w:tcW w:w="3620" w:type="dxa"/>
            <w:vAlign w:val="bottom"/>
            <w:tcBorders>
              <w:bottom w:val="single" w:sz="8" w:color="auto"/>
              <w:right w:val="single" w:sz="8" w:color="auto"/>
            </w:tcBorders>
          </w:tcPr>
          <w:p>
            <w:pPr>
              <w:jc w:val="center"/>
              <w:ind w:right="535"/>
              <w:spacing w:after="0"/>
              <w:rPr>
                <w:sz w:val="20"/>
                <w:szCs w:val="20"/>
                <w:color w:val="auto"/>
              </w:rPr>
            </w:pPr>
            <w:r>
              <w:rPr>
                <w:rFonts w:ascii="Arial" w:cs="Arial" w:eastAsia="Arial" w:hAnsi="Arial"/>
                <w:sz w:val="14"/>
                <w:szCs w:val="14"/>
                <w:color w:val="auto"/>
                <w:w w:val="92"/>
              </w:rPr>
              <w:t>The Nasdaq Stock Market LLC</w:t>
            </w:r>
          </w:p>
        </w:tc>
      </w:tr>
    </w:tbl>
    <w:p>
      <w:pPr>
        <w:spacing w:after="0" w:line="64" w:lineRule="exact"/>
        <w:rPr>
          <w:sz w:val="24"/>
          <w:szCs w:val="24"/>
          <w:color w:val="auto"/>
        </w:rPr>
      </w:pPr>
    </w:p>
    <w:p>
      <w:pPr>
        <w:ind w:right="120"/>
        <w:spacing w:after="0" w:line="22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6"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w:t>
      </w:r>
    </w:p>
    <w:p>
      <w:pPr>
        <w:spacing w:after="0" w:line="28" w:lineRule="exact"/>
        <w:rPr>
          <w:sz w:val="24"/>
          <w:szCs w:val="24"/>
          <w:color w:val="auto"/>
        </w:rPr>
      </w:pPr>
    </w:p>
    <w:tbl>
      <w:tblPr>
        <w:tblLayout w:type="fixed"/>
        <w:tblInd w:w="0" w:type="dxa"/>
        <w:tblCellMar>
          <w:top w:w="0" w:type="dxa"/>
          <w:left w:w="0" w:type="dxa"/>
          <w:bottom w:w="0" w:type="dxa"/>
          <w:right w:w="0" w:type="dxa"/>
        </w:tblCellMar>
      </w:tblPr>
      <w:tr>
        <w:trPr>
          <w:trHeight w:val="279"/>
        </w:trPr>
        <w:tc>
          <w:tcPr>
            <w:tcW w:w="6440" w:type="dxa"/>
            <w:vAlign w:val="bottom"/>
            <w:gridSpan w:val="2"/>
          </w:tcPr>
          <w:p>
            <w:pPr>
              <w:spacing w:after="0"/>
              <w:rPr>
                <w:sz w:val="20"/>
                <w:szCs w:val="20"/>
                <w:color w:val="auto"/>
              </w:rPr>
            </w:pPr>
            <w:r>
              <w:rPr>
                <w:rFonts w:ascii="Arial" w:cs="Arial" w:eastAsia="Arial" w:hAnsi="Arial"/>
                <w:sz w:val="14"/>
                <w:szCs w:val="14"/>
                <w:color w:val="auto"/>
                <w:w w:val="92"/>
              </w:rPr>
              <w:t>during the preceding 12 months (or for such shorter period that the Registrant was required to submit such files).</w:t>
            </w:r>
          </w:p>
        </w:tc>
        <w:tc>
          <w:tcPr>
            <w:tcW w:w="4300" w:type="dxa"/>
            <w:vAlign w:val="bottom"/>
          </w:tcPr>
          <w:p>
            <w:pPr>
              <w:ind w:left="80"/>
              <w:spacing w:after="0" w:line="219"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9"/>
                <w:szCs w:val="19"/>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tc>
        <w:tc>
          <w:tcPr>
            <w:tcW w:w="220" w:type="dxa"/>
            <w:vAlign w:val="bottom"/>
          </w:tcPr>
          <w:p>
            <w:pPr>
              <w:spacing w:after="0"/>
              <w:rPr>
                <w:sz w:val="24"/>
                <w:szCs w:val="24"/>
                <w:color w:val="auto"/>
              </w:rPr>
            </w:pPr>
          </w:p>
        </w:tc>
      </w:tr>
      <w:tr>
        <w:trPr>
          <w:trHeight w:val="170"/>
        </w:trPr>
        <w:tc>
          <w:tcPr>
            <w:tcW w:w="10740" w:type="dxa"/>
            <w:vAlign w:val="bottom"/>
            <w:gridSpan w:val="3"/>
          </w:tcPr>
          <w:p>
            <w:pPr>
              <w:spacing w:after="0"/>
              <w:rPr>
                <w:sz w:val="20"/>
                <w:szCs w:val="20"/>
                <w:color w:val="auto"/>
              </w:rPr>
            </w:pPr>
            <w:r>
              <w:rPr>
                <w:rFonts w:ascii="Arial" w:cs="Arial" w:eastAsia="Arial" w:hAnsi="Arial"/>
                <w:sz w:val="14"/>
                <w:szCs w:val="14"/>
                <w:color w:val="auto"/>
                <w:w w:val="91"/>
              </w:rPr>
              <w:t>Indicate by check mark whether the Registrant is a large accelerated filer, an accelerated filer, a non-accelerated filer, a smaller reporting company, or an emerging growth company. See the</w:t>
            </w:r>
          </w:p>
        </w:tc>
        <w:tc>
          <w:tcPr>
            <w:tcW w:w="220" w:type="dxa"/>
            <w:vAlign w:val="bottom"/>
          </w:tcPr>
          <w:p>
            <w:pPr>
              <w:spacing w:after="0"/>
              <w:rPr>
                <w:sz w:val="14"/>
                <w:szCs w:val="14"/>
                <w:color w:val="auto"/>
              </w:rPr>
            </w:pPr>
          </w:p>
        </w:tc>
      </w:tr>
      <w:tr>
        <w:trPr>
          <w:trHeight w:val="180"/>
        </w:trPr>
        <w:tc>
          <w:tcPr>
            <w:tcW w:w="10740" w:type="dxa"/>
            <w:vAlign w:val="bottom"/>
            <w:gridSpan w:val="3"/>
          </w:tcPr>
          <w:p>
            <w:pPr>
              <w:spacing w:after="0"/>
              <w:rPr>
                <w:sz w:val="20"/>
                <w:szCs w:val="20"/>
                <w:color w:val="auto"/>
              </w:rPr>
            </w:pPr>
            <w:r>
              <w:rPr>
                <w:rFonts w:ascii="Arial" w:cs="Arial" w:eastAsia="Arial" w:hAnsi="Arial"/>
                <w:sz w:val="14"/>
                <w:szCs w:val="14"/>
                <w:color w:val="auto"/>
              </w:rPr>
              <w:t>definitions of “large accelerated filer,” “accelerated filer,” “smaller reporting company” and “emerging growth company” in Rule 12b-2 of the Exchange Act.</w:t>
            </w:r>
          </w:p>
        </w:tc>
        <w:tc>
          <w:tcPr>
            <w:tcW w:w="220" w:type="dxa"/>
            <w:vAlign w:val="bottom"/>
          </w:tcPr>
          <w:p>
            <w:pPr>
              <w:spacing w:after="0"/>
              <w:rPr>
                <w:sz w:val="15"/>
                <w:szCs w:val="15"/>
                <w:color w:val="auto"/>
              </w:rPr>
            </w:pPr>
          </w:p>
        </w:tc>
      </w:tr>
      <w:tr>
        <w:trPr>
          <w:trHeight w:val="302"/>
        </w:trPr>
        <w:tc>
          <w:tcPr>
            <w:tcW w:w="2040" w:type="dxa"/>
            <w:vAlign w:val="bottom"/>
          </w:tcPr>
          <w:p>
            <w:pPr>
              <w:ind w:left="20"/>
              <w:spacing w:after="0"/>
              <w:rPr>
                <w:sz w:val="20"/>
                <w:szCs w:val="20"/>
                <w:color w:val="auto"/>
              </w:rPr>
            </w:pPr>
            <w:r>
              <w:rPr>
                <w:rFonts w:ascii="Arial" w:cs="Arial" w:eastAsia="Arial" w:hAnsi="Arial"/>
                <w:sz w:val="14"/>
                <w:szCs w:val="14"/>
                <w:color w:val="auto"/>
              </w:rPr>
              <w:t>Large Accelerated Filer</w:t>
            </w:r>
          </w:p>
        </w:tc>
        <w:tc>
          <w:tcPr>
            <w:tcW w:w="440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300" w:type="dxa"/>
            <w:vAlign w:val="bottom"/>
          </w:tcPr>
          <w:p>
            <w:pPr>
              <w:ind w:left="1560"/>
              <w:spacing w:after="0"/>
              <w:rPr>
                <w:sz w:val="20"/>
                <w:szCs w:val="20"/>
                <w:color w:val="auto"/>
              </w:rPr>
            </w:pPr>
            <w:r>
              <w:rPr>
                <w:rFonts w:ascii="Arial" w:cs="Arial" w:eastAsia="Arial" w:hAnsi="Arial"/>
                <w:sz w:val="14"/>
                <w:szCs w:val="14"/>
                <w:color w:val="auto"/>
              </w:rPr>
              <w:t>Accelerated Filer</w:t>
            </w:r>
          </w:p>
        </w:tc>
        <w:tc>
          <w:tcPr>
            <w:tcW w:w="220" w:type="dxa"/>
            <w:vAlign w:val="bottom"/>
          </w:tcPr>
          <w:p>
            <w:pPr>
              <w:ind w:left="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61"/>
        </w:trPr>
        <w:tc>
          <w:tcPr>
            <w:tcW w:w="2040" w:type="dxa"/>
            <w:vAlign w:val="bottom"/>
          </w:tcPr>
          <w:p>
            <w:pPr>
              <w:ind w:left="20"/>
              <w:spacing w:after="0"/>
              <w:rPr>
                <w:sz w:val="20"/>
                <w:szCs w:val="20"/>
                <w:color w:val="auto"/>
              </w:rPr>
            </w:pPr>
            <w:r>
              <w:rPr>
                <w:rFonts w:ascii="Arial" w:cs="Arial" w:eastAsia="Arial" w:hAnsi="Arial"/>
                <w:sz w:val="14"/>
                <w:szCs w:val="14"/>
                <w:color w:val="auto"/>
              </w:rPr>
              <w:t>Non-accelerated Filer</w:t>
            </w:r>
          </w:p>
        </w:tc>
        <w:tc>
          <w:tcPr>
            <w:tcW w:w="4400" w:type="dxa"/>
            <w:vAlign w:val="bottom"/>
          </w:tcPr>
          <w:p>
            <w:pPr>
              <w:ind w:left="700"/>
              <w:spacing w:after="0" w:line="171" w:lineRule="exact"/>
              <w:rPr>
                <w:sz w:val="20"/>
                <w:szCs w:val="20"/>
                <w:color w:val="auto"/>
              </w:rPr>
            </w:pPr>
            <w:r>
              <w:rPr>
                <w:rFonts w:ascii="MS PGothic" w:cs="MS PGothic" w:eastAsia="MS PGothic" w:hAnsi="MS PGothic"/>
                <w:sz w:val="17"/>
                <w:szCs w:val="17"/>
                <w:color w:val="auto"/>
              </w:rPr>
              <w:t>☒</w:t>
            </w:r>
          </w:p>
        </w:tc>
        <w:tc>
          <w:tcPr>
            <w:tcW w:w="4300" w:type="dxa"/>
            <w:vAlign w:val="bottom"/>
          </w:tcPr>
          <w:p>
            <w:pPr>
              <w:ind w:left="1560"/>
              <w:spacing w:after="0"/>
              <w:rPr>
                <w:sz w:val="20"/>
                <w:szCs w:val="20"/>
                <w:color w:val="auto"/>
              </w:rPr>
            </w:pPr>
            <w:r>
              <w:rPr>
                <w:rFonts w:ascii="Arial" w:cs="Arial" w:eastAsia="Arial" w:hAnsi="Arial"/>
                <w:sz w:val="14"/>
                <w:szCs w:val="14"/>
                <w:color w:val="auto"/>
              </w:rPr>
              <w:t>Smaller Reporting Company</w:t>
            </w:r>
          </w:p>
        </w:tc>
        <w:tc>
          <w:tcPr>
            <w:tcW w:w="220" w:type="dxa"/>
            <w:vAlign w:val="bottom"/>
          </w:tcPr>
          <w:p>
            <w:pPr>
              <w:ind w:left="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44"/>
        </w:trPr>
        <w:tc>
          <w:tcPr>
            <w:tcW w:w="204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4300" w:type="dxa"/>
            <w:vAlign w:val="bottom"/>
          </w:tcPr>
          <w:p>
            <w:pPr>
              <w:ind w:left="1560"/>
              <w:spacing w:after="0"/>
              <w:rPr>
                <w:sz w:val="20"/>
                <w:szCs w:val="20"/>
                <w:color w:val="auto"/>
              </w:rPr>
            </w:pPr>
            <w:r>
              <w:rPr>
                <w:rFonts w:ascii="Arial" w:cs="Arial" w:eastAsia="Arial" w:hAnsi="Arial"/>
                <w:sz w:val="14"/>
                <w:szCs w:val="14"/>
                <w:color w:val="auto"/>
              </w:rPr>
              <w:t>Emerging Growth Company</w:t>
            </w:r>
          </w:p>
        </w:tc>
        <w:tc>
          <w:tcPr>
            <w:tcW w:w="220" w:type="dxa"/>
            <w:vAlign w:val="bottom"/>
          </w:tcPr>
          <w:p>
            <w:pPr>
              <w:ind w:left="6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42" w:lineRule="exact"/>
        <w:rPr>
          <w:sz w:val="24"/>
          <w:szCs w:val="24"/>
          <w:color w:val="auto"/>
        </w:rPr>
      </w:pPr>
    </w:p>
    <w:p>
      <w:pPr>
        <w:ind w:right="240"/>
        <w:spacing w:after="0" w:line="20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219" w:lineRule="exact"/>
        <w:tabs>
          <w:tab w:leader="none" w:pos="6000" w:val="left"/>
          <w:tab w:leader="none" w:pos="65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4"/>
          <w:szCs w:val="14"/>
          <w:color w:val="auto"/>
        </w:rPr>
        <w:tab/>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390525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856" w:right="299" w:bottom="1440" w:gutter="0" w:footer="0" w:header="0"/>
        </w:sectPr>
      </w:pPr>
    </w:p>
    <w:bookmarkStart w:id="1" w:name="page2"/>
    <w:bookmarkEnd w:id="1"/>
    <w:p>
      <w:pPr>
        <w:spacing w:after="0"/>
        <w:rPr>
          <w:sz w:val="20"/>
          <w:szCs w:val="20"/>
          <w:color w:val="auto"/>
        </w:rPr>
      </w:pPr>
      <w:r>
        <w:rPr>
          <w:rFonts w:ascii="Arial" w:cs="Arial" w:eastAsia="Arial" w:hAnsi="Arial"/>
          <w:sz w:val="12"/>
          <w:szCs w:val="12"/>
          <w:color w:val="auto"/>
        </w:rPr>
        <w:t>As of November 4, 2022, there were 28,431,632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526415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2287270</wp:posOffset>
            </wp:positionH>
            <wp:positionV relativeFrom="paragraph">
              <wp:posOffset>114300</wp:posOffset>
            </wp:positionV>
            <wp:extent cx="259397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93975" cy="6985"/>
                    </a:xfrm>
                    <a:prstGeom prst="rect">
                      <a:avLst/>
                    </a:prstGeom>
                    <a:noFill/>
                  </pic:spPr>
                </pic:pic>
              </a:graphicData>
            </a:graphic>
          </wp:anchor>
        </w:drawing>
      </w:r>
    </w:p>
    <w:p>
      <w:pPr>
        <w:sectPr>
          <w:pgSz w:w="11900" w:h="16838" w:orient="portrait"/>
          <w:cols w:equalWidth="0" w:num="1">
            <w:col w:w="10159"/>
          </w:cols>
          <w:pgMar w:left="300" w:top="681"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2"/>
        </w:trPr>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gridSpan w:val="6"/>
          </w:tcPr>
          <w:p>
            <w:pPr>
              <w:jc w:val="center"/>
              <w:ind w:right="2440"/>
              <w:spacing w:after="0"/>
              <w:rPr>
                <w:sz w:val="20"/>
                <w:szCs w:val="20"/>
                <w:color w:val="auto"/>
              </w:rPr>
            </w:pPr>
            <w:r>
              <w:rPr>
                <w:rFonts w:ascii="Arial" w:cs="Arial" w:eastAsia="Arial" w:hAnsi="Arial"/>
                <w:sz w:val="17"/>
                <w:szCs w:val="17"/>
                <w:b w:val="1"/>
                <w:bCs w:val="1"/>
                <w:color w:val="auto"/>
                <w:w w:val="91"/>
              </w:rPr>
              <w:t>AnaptysBio, Inc.</w:t>
            </w:r>
          </w:p>
        </w:tc>
      </w:tr>
      <w:tr>
        <w:trPr>
          <w:trHeight w:val="219"/>
        </w:trPr>
        <w:tc>
          <w:tcPr>
            <w:tcW w:w="1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40" w:type="dxa"/>
            <w:vAlign w:val="bottom"/>
            <w:gridSpan w:val="6"/>
          </w:tcPr>
          <w:p>
            <w:pPr>
              <w:jc w:val="center"/>
              <w:ind w:right="2460"/>
              <w:spacing w:after="0"/>
              <w:rPr>
                <w:sz w:val="20"/>
                <w:szCs w:val="20"/>
                <w:color w:val="auto"/>
              </w:rPr>
            </w:pPr>
            <w:r>
              <w:rPr>
                <w:rFonts w:ascii="Arial" w:cs="Arial" w:eastAsia="Arial" w:hAnsi="Arial"/>
                <w:sz w:val="17"/>
                <w:szCs w:val="17"/>
                <w:b w:val="1"/>
                <w:bCs w:val="1"/>
                <w:color w:val="auto"/>
                <w:w w:val="89"/>
              </w:rPr>
              <w:t>Table of Contents</w:t>
            </w:r>
          </w:p>
        </w:tc>
      </w:tr>
      <w:tr>
        <w:trPr>
          <w:trHeight w:val="650"/>
        </w:trPr>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940" w:type="dxa"/>
            <w:vAlign w:val="bottom"/>
            <w:gridSpan w:val="9"/>
          </w:tcPr>
          <w:p>
            <w:pPr>
              <w:jc w:val="center"/>
              <w:ind w:right="1660"/>
              <w:spacing w:after="0"/>
              <w:rPr>
                <w:sz w:val="20"/>
                <w:szCs w:val="20"/>
                <w:color w:val="auto"/>
              </w:rPr>
            </w:pPr>
            <w:r>
              <w:rPr>
                <w:rFonts w:ascii="Arial" w:cs="Arial" w:eastAsia="Arial" w:hAnsi="Arial"/>
                <w:sz w:val="14"/>
                <w:szCs w:val="14"/>
                <w:b w:val="1"/>
                <w:bCs w:val="1"/>
                <w:color w:val="auto"/>
              </w:rPr>
              <w:t>PART I. FINANCIAL INFORMATION</w:t>
            </w:r>
          </w:p>
        </w:tc>
      </w:tr>
      <w:tr>
        <w:trPr>
          <w:trHeight w:val="234"/>
        </w:trPr>
        <w:tc>
          <w:tcPr>
            <w:tcW w:w="1300" w:type="dxa"/>
            <w:vAlign w:val="bottom"/>
          </w:tcPr>
          <w:p>
            <w:pPr>
              <w:spacing w:after="0"/>
              <w:rPr>
                <w:sz w:val="20"/>
                <w:szCs w:val="20"/>
                <w:color w:val="auto"/>
              </w:rPr>
            </w:pPr>
            <w:r>
              <w:rPr>
                <w:rFonts w:ascii="Arial" w:cs="Arial" w:eastAsia="Arial" w:hAnsi="Arial"/>
                <w:sz w:val="14"/>
                <w:szCs w:val="14"/>
                <w:color w:val="0000FF"/>
              </w:rPr>
              <w:t>Item 1.</w:t>
            </w:r>
          </w:p>
        </w:tc>
        <w:tc>
          <w:tcPr>
            <w:tcW w:w="7580" w:type="dxa"/>
            <w:vAlign w:val="bottom"/>
            <w:gridSpan w:val="18"/>
          </w:tcPr>
          <w:p>
            <w:pPr>
              <w:spacing w:after="0"/>
              <w:rPr>
                <w:sz w:val="20"/>
                <w:szCs w:val="20"/>
                <w:color w:val="auto"/>
              </w:rPr>
            </w:pPr>
            <w:r>
              <w:rPr>
                <w:rFonts w:ascii="Arial" w:cs="Arial" w:eastAsia="Arial" w:hAnsi="Arial"/>
                <w:sz w:val="14"/>
                <w:szCs w:val="14"/>
                <w:color w:val="0000FF"/>
              </w:rPr>
              <w:t>Consolidated Financial Statements (unaudited)</w:t>
            </w:r>
          </w:p>
        </w:tc>
      </w:tr>
      <w:tr>
        <w:trPr>
          <w:trHeight w:val="20"/>
        </w:trPr>
        <w:tc>
          <w:tcPr>
            <w:tcW w:w="13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35"/>
        </w:trPr>
        <w:tc>
          <w:tcPr>
            <w:tcW w:w="1300" w:type="dxa"/>
            <w:vAlign w:val="bottom"/>
          </w:tcPr>
          <w:p>
            <w:pPr>
              <w:spacing w:after="0"/>
              <w:rPr>
                <w:sz w:val="20"/>
                <w:szCs w:val="20"/>
                <w:color w:val="auto"/>
              </w:rPr>
            </w:pPr>
          </w:p>
        </w:tc>
        <w:tc>
          <w:tcPr>
            <w:tcW w:w="4500" w:type="dxa"/>
            <w:vAlign w:val="bottom"/>
            <w:tcBorders>
              <w:bottom w:val="single" w:sz="8" w:color="0000FF"/>
            </w:tcBorders>
            <w:gridSpan w:val="13"/>
          </w:tcPr>
          <w:p>
            <w:pPr>
              <w:spacing w:after="0"/>
              <w:rPr>
                <w:sz w:val="20"/>
                <w:szCs w:val="20"/>
                <w:color w:val="auto"/>
              </w:rPr>
            </w:pPr>
            <w:r>
              <w:rPr>
                <w:rFonts w:ascii="Arial" w:cs="Arial" w:eastAsia="Arial" w:hAnsi="Arial"/>
                <w:sz w:val="14"/>
                <w:szCs w:val="14"/>
                <w:color w:val="0000FF"/>
                <w:w w:val="89"/>
              </w:rPr>
              <w:t>Consolidated Balance Sheets as of September 30, 2022 and December 31, 2021</w:t>
            </w:r>
          </w:p>
        </w:tc>
        <w:tc>
          <w:tcPr>
            <w:tcW w:w="3080" w:type="dxa"/>
            <w:vAlign w:val="bottom"/>
            <w:gridSpan w:val="5"/>
          </w:tcPr>
          <w:p>
            <w:pPr>
              <w:spacing w:after="0"/>
              <w:rPr>
                <w:sz w:val="20"/>
                <w:szCs w:val="20"/>
                <w:color w:val="auto"/>
              </w:rPr>
            </w:pPr>
          </w:p>
        </w:tc>
      </w:tr>
      <w:tr>
        <w:trPr>
          <w:trHeight w:val="235"/>
        </w:trPr>
        <w:tc>
          <w:tcPr>
            <w:tcW w:w="1300" w:type="dxa"/>
            <w:vAlign w:val="bottom"/>
          </w:tcPr>
          <w:p>
            <w:pPr>
              <w:spacing w:after="0"/>
              <w:rPr>
                <w:sz w:val="20"/>
                <w:szCs w:val="20"/>
                <w:color w:val="auto"/>
              </w:rPr>
            </w:pPr>
          </w:p>
        </w:tc>
        <w:tc>
          <w:tcPr>
            <w:tcW w:w="7580" w:type="dxa"/>
            <w:vAlign w:val="bottom"/>
            <w:tcBorders>
              <w:bottom w:val="single" w:sz="8" w:color="0000FF"/>
            </w:tcBorders>
            <w:gridSpan w:val="18"/>
          </w:tcPr>
          <w:p>
            <w:pPr>
              <w:spacing w:after="0"/>
              <w:rPr>
                <w:sz w:val="20"/>
                <w:szCs w:val="20"/>
                <w:color w:val="auto"/>
              </w:rPr>
            </w:pPr>
            <w:r>
              <w:rPr>
                <w:rFonts w:ascii="Arial" w:cs="Arial" w:eastAsia="Arial" w:hAnsi="Arial"/>
                <w:sz w:val="14"/>
                <w:szCs w:val="14"/>
                <w:color w:val="0000FF"/>
                <w:w w:val="90"/>
              </w:rPr>
              <w:t>Consolidated Statements of Operations and Comprehensive Loss for the Three and Nine Months Ended September 30, 2022 and 2021</w:t>
            </w:r>
          </w:p>
        </w:tc>
      </w:tr>
      <w:tr>
        <w:trPr>
          <w:trHeight w:val="235"/>
        </w:trPr>
        <w:tc>
          <w:tcPr>
            <w:tcW w:w="1300" w:type="dxa"/>
            <w:vAlign w:val="bottom"/>
          </w:tcPr>
          <w:p>
            <w:pPr>
              <w:spacing w:after="0"/>
              <w:rPr>
                <w:sz w:val="20"/>
                <w:szCs w:val="20"/>
                <w:color w:val="auto"/>
              </w:rPr>
            </w:pPr>
          </w:p>
        </w:tc>
        <w:tc>
          <w:tcPr>
            <w:tcW w:w="6120" w:type="dxa"/>
            <w:vAlign w:val="bottom"/>
            <w:tcBorders>
              <w:bottom w:val="single" w:sz="8" w:color="0000FF"/>
            </w:tcBorders>
            <w:gridSpan w:val="16"/>
          </w:tcPr>
          <w:p>
            <w:pPr>
              <w:spacing w:after="0"/>
              <w:rPr>
                <w:sz w:val="20"/>
                <w:szCs w:val="20"/>
                <w:color w:val="auto"/>
              </w:rPr>
            </w:pPr>
            <w:r>
              <w:rPr>
                <w:rFonts w:ascii="Arial" w:cs="Arial" w:eastAsia="Arial" w:hAnsi="Arial"/>
                <w:sz w:val="14"/>
                <w:szCs w:val="14"/>
                <w:color w:val="0000FF"/>
                <w:w w:val="90"/>
              </w:rPr>
              <w:t>Consolidated Statements of Stockholders' Equity for the Three and Nine Months Ended September 30, 2022</w:t>
            </w:r>
          </w:p>
        </w:tc>
        <w:tc>
          <w:tcPr>
            <w:tcW w:w="1460" w:type="dxa"/>
            <w:vAlign w:val="bottom"/>
            <w:gridSpan w:val="2"/>
          </w:tcPr>
          <w:p>
            <w:pPr>
              <w:spacing w:after="0"/>
              <w:rPr>
                <w:sz w:val="20"/>
                <w:szCs w:val="20"/>
                <w:color w:val="auto"/>
              </w:rPr>
            </w:pPr>
          </w:p>
        </w:tc>
      </w:tr>
      <w:tr>
        <w:trPr>
          <w:trHeight w:val="235"/>
        </w:trPr>
        <w:tc>
          <w:tcPr>
            <w:tcW w:w="1300" w:type="dxa"/>
            <w:vAlign w:val="bottom"/>
          </w:tcPr>
          <w:p>
            <w:pPr>
              <w:spacing w:after="0"/>
              <w:rPr>
                <w:sz w:val="20"/>
                <w:szCs w:val="20"/>
                <w:color w:val="auto"/>
              </w:rPr>
            </w:pPr>
          </w:p>
        </w:tc>
        <w:tc>
          <w:tcPr>
            <w:tcW w:w="7580" w:type="dxa"/>
            <w:vAlign w:val="bottom"/>
            <w:gridSpan w:val="18"/>
          </w:tcPr>
          <w:p>
            <w:pPr>
              <w:spacing w:after="0"/>
              <w:rPr>
                <w:sz w:val="20"/>
                <w:szCs w:val="20"/>
                <w:color w:val="auto"/>
              </w:rPr>
            </w:pPr>
            <w:r>
              <w:rPr>
                <w:rFonts w:ascii="Arial" w:cs="Arial" w:eastAsia="Arial" w:hAnsi="Arial"/>
                <w:sz w:val="14"/>
                <w:szCs w:val="14"/>
                <w:color w:val="0000FF"/>
              </w:rPr>
              <w:t>Consolidated Statements of Stockholders’ Equity for the Three and Nine Months Ended September 30, 2021</w:t>
            </w:r>
          </w:p>
        </w:tc>
      </w:tr>
      <w:tr>
        <w:trPr>
          <w:trHeight w:val="235"/>
        </w:trPr>
        <w:tc>
          <w:tcPr>
            <w:tcW w:w="1300" w:type="dxa"/>
            <w:vAlign w:val="bottom"/>
          </w:tcPr>
          <w:p>
            <w:pPr>
              <w:spacing w:after="0"/>
              <w:rPr>
                <w:sz w:val="20"/>
                <w:szCs w:val="20"/>
                <w:color w:val="auto"/>
              </w:rPr>
            </w:pPr>
          </w:p>
        </w:tc>
        <w:tc>
          <w:tcPr>
            <w:tcW w:w="6140" w:type="dxa"/>
            <w:vAlign w:val="bottom"/>
            <w:tcBorders>
              <w:top w:val="single" w:sz="8" w:color="0000FF"/>
            </w:tcBorders>
            <w:gridSpan w:val="17"/>
          </w:tcPr>
          <w:p>
            <w:pPr>
              <w:spacing w:after="0"/>
              <w:rPr>
                <w:sz w:val="20"/>
                <w:szCs w:val="20"/>
                <w:color w:val="auto"/>
              </w:rPr>
            </w:pPr>
            <w:r>
              <w:rPr>
                <w:rFonts w:ascii="Arial" w:cs="Arial" w:eastAsia="Arial" w:hAnsi="Arial"/>
                <w:sz w:val="14"/>
                <w:szCs w:val="14"/>
                <w:color w:val="0000FF"/>
                <w:w w:val="99"/>
              </w:rPr>
              <w:t>Consolidated Statements of Cash Flows for the Nine Months Ended September 30, 2022 and 2021</w:t>
            </w:r>
          </w:p>
        </w:tc>
        <w:tc>
          <w:tcPr>
            <w:tcW w:w="1440" w:type="dxa"/>
            <w:vAlign w:val="bottom"/>
          </w:tcPr>
          <w:p>
            <w:pPr>
              <w:spacing w:after="0"/>
              <w:rPr>
                <w:sz w:val="20"/>
                <w:szCs w:val="20"/>
                <w:color w:val="auto"/>
              </w:rPr>
            </w:pPr>
          </w:p>
        </w:tc>
      </w:tr>
      <w:tr>
        <w:trPr>
          <w:trHeight w:val="235"/>
        </w:trPr>
        <w:tc>
          <w:tcPr>
            <w:tcW w:w="1300" w:type="dxa"/>
            <w:vAlign w:val="bottom"/>
          </w:tcPr>
          <w:p>
            <w:pPr>
              <w:spacing w:after="0"/>
              <w:rPr>
                <w:sz w:val="20"/>
                <w:szCs w:val="20"/>
                <w:color w:val="auto"/>
              </w:rPr>
            </w:pPr>
          </w:p>
        </w:tc>
        <w:tc>
          <w:tcPr>
            <w:tcW w:w="5560" w:type="dxa"/>
            <w:vAlign w:val="bottom"/>
            <w:tcBorders>
              <w:top w:val="single" w:sz="8" w:color="0000FF"/>
            </w:tcBorders>
            <w:gridSpan w:val="15"/>
          </w:tcPr>
          <w:p>
            <w:pPr>
              <w:spacing w:after="0"/>
              <w:rPr>
                <w:sz w:val="20"/>
                <w:szCs w:val="20"/>
                <w:color w:val="auto"/>
              </w:rPr>
            </w:pPr>
            <w:r>
              <w:rPr>
                <w:rFonts w:ascii="Arial" w:cs="Arial" w:eastAsia="Arial" w:hAnsi="Arial"/>
                <w:sz w:val="14"/>
                <w:szCs w:val="14"/>
                <w:color w:val="0000FF"/>
              </w:rPr>
              <w:t>Notes to the Unaudited Consolidated Financial Statements</w:t>
            </w:r>
          </w:p>
        </w:tc>
        <w:tc>
          <w:tcPr>
            <w:tcW w:w="2020" w:type="dxa"/>
            <w:vAlign w:val="bottom"/>
            <w:gridSpan w:val="3"/>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4"/>
                <w:szCs w:val="14"/>
                <w:color w:val="0000FF"/>
              </w:rPr>
              <w:t>Item 2.</w:t>
            </w:r>
          </w:p>
        </w:tc>
        <w:tc>
          <w:tcPr>
            <w:tcW w:w="5080" w:type="dxa"/>
            <w:vAlign w:val="bottom"/>
            <w:tcBorders>
              <w:bottom w:val="single" w:sz="8" w:color="0000FF"/>
            </w:tcBorders>
            <w:gridSpan w:val="14"/>
          </w:tcPr>
          <w:p>
            <w:pPr>
              <w:spacing w:after="0"/>
              <w:rPr>
                <w:sz w:val="20"/>
                <w:szCs w:val="20"/>
                <w:color w:val="auto"/>
              </w:rPr>
            </w:pPr>
            <w:r>
              <w:rPr>
                <w:rFonts w:ascii="Arial" w:cs="Arial" w:eastAsia="Arial" w:hAnsi="Arial"/>
                <w:sz w:val="14"/>
                <w:szCs w:val="14"/>
                <w:color w:val="0000FF"/>
                <w:w w:val="91"/>
              </w:rPr>
              <w:t>Management’s Discussion and Analysis of Financial Condition and Results of Operations</w:t>
            </w:r>
          </w:p>
        </w:tc>
        <w:tc>
          <w:tcPr>
            <w:tcW w:w="2500" w:type="dxa"/>
            <w:vAlign w:val="bottom"/>
            <w:gridSpan w:val="4"/>
          </w:tcPr>
          <w:p>
            <w:pPr>
              <w:spacing w:after="0"/>
              <w:rPr>
                <w:sz w:val="20"/>
                <w:szCs w:val="20"/>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4"/>
                <w:szCs w:val="14"/>
                <w:color w:val="0000FF"/>
              </w:rPr>
              <w:t>Item 3.</w:t>
            </w:r>
          </w:p>
        </w:tc>
        <w:tc>
          <w:tcPr>
            <w:tcW w:w="3440" w:type="dxa"/>
            <w:vAlign w:val="bottom"/>
            <w:tcBorders>
              <w:bottom w:val="single" w:sz="8" w:color="0000FF"/>
            </w:tcBorders>
            <w:gridSpan w:val="12"/>
          </w:tcPr>
          <w:p>
            <w:pPr>
              <w:spacing w:after="0"/>
              <w:rPr>
                <w:sz w:val="20"/>
                <w:szCs w:val="20"/>
                <w:color w:val="auto"/>
              </w:rPr>
            </w:pPr>
            <w:r>
              <w:rPr>
                <w:rFonts w:ascii="Arial" w:cs="Arial" w:eastAsia="Arial" w:hAnsi="Arial"/>
                <w:sz w:val="14"/>
                <w:szCs w:val="14"/>
                <w:color w:val="0000FF"/>
                <w:w w:val="93"/>
              </w:rPr>
              <w:t>Quantitative and Qualitative Disclosures About Market Risk</w:t>
            </w:r>
          </w:p>
        </w:tc>
        <w:tc>
          <w:tcPr>
            <w:tcW w:w="4140" w:type="dxa"/>
            <w:vAlign w:val="bottom"/>
            <w:gridSpan w:val="6"/>
          </w:tcPr>
          <w:p>
            <w:pPr>
              <w:spacing w:after="0"/>
              <w:rPr>
                <w:sz w:val="20"/>
                <w:szCs w:val="20"/>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4"/>
                <w:szCs w:val="14"/>
                <w:color w:val="0000FF"/>
              </w:rPr>
              <w:t>Item 4.</w:t>
            </w:r>
          </w:p>
        </w:tc>
        <w:tc>
          <w:tcPr>
            <w:tcW w:w="7580" w:type="dxa"/>
            <w:vAlign w:val="bottom"/>
            <w:gridSpan w:val="18"/>
          </w:tcPr>
          <w:p>
            <w:pPr>
              <w:spacing w:after="0"/>
              <w:rPr>
                <w:sz w:val="20"/>
                <w:szCs w:val="20"/>
                <w:color w:val="auto"/>
              </w:rPr>
            </w:pPr>
            <w:r>
              <w:rPr>
                <w:rFonts w:ascii="Arial" w:cs="Arial" w:eastAsia="Arial" w:hAnsi="Arial"/>
                <w:sz w:val="14"/>
                <w:szCs w:val="14"/>
                <w:color w:val="0000FF"/>
              </w:rPr>
              <w:t>Controls and Procedures</w:t>
            </w:r>
          </w:p>
        </w:tc>
      </w:tr>
      <w:tr>
        <w:trPr>
          <w:trHeight w:val="478"/>
        </w:trPr>
        <w:tc>
          <w:tcPr>
            <w:tcW w:w="130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940" w:type="dxa"/>
            <w:vAlign w:val="bottom"/>
            <w:gridSpan w:val="9"/>
          </w:tcPr>
          <w:p>
            <w:pPr>
              <w:jc w:val="center"/>
              <w:ind w:right="1640"/>
              <w:spacing w:after="0"/>
              <w:rPr>
                <w:sz w:val="20"/>
                <w:szCs w:val="20"/>
                <w:color w:val="auto"/>
              </w:rPr>
            </w:pPr>
            <w:r>
              <w:rPr>
                <w:rFonts w:ascii="Arial" w:cs="Arial" w:eastAsia="Arial" w:hAnsi="Arial"/>
                <w:sz w:val="14"/>
                <w:szCs w:val="14"/>
                <w:b w:val="1"/>
                <w:bCs w:val="1"/>
                <w:color w:val="auto"/>
              </w:rPr>
              <w:t>PART II. OTHER INFORMATION</w:t>
            </w:r>
          </w:p>
        </w:tc>
      </w:tr>
      <w:tr>
        <w:trPr>
          <w:trHeight w:val="361"/>
        </w:trPr>
        <w:tc>
          <w:tcPr>
            <w:tcW w:w="1300" w:type="dxa"/>
            <w:vAlign w:val="bottom"/>
          </w:tcPr>
          <w:p>
            <w:pPr>
              <w:spacing w:after="0"/>
              <w:rPr>
                <w:sz w:val="20"/>
                <w:szCs w:val="20"/>
                <w:color w:val="auto"/>
              </w:rPr>
            </w:pPr>
            <w:r>
              <w:rPr>
                <w:rFonts w:ascii="Arial" w:cs="Arial" w:eastAsia="Arial" w:hAnsi="Arial"/>
                <w:sz w:val="14"/>
                <w:szCs w:val="14"/>
                <w:color w:val="0000FF"/>
              </w:rPr>
              <w:t>Item 1.</w:t>
            </w:r>
          </w:p>
        </w:tc>
        <w:tc>
          <w:tcPr>
            <w:tcW w:w="7580" w:type="dxa"/>
            <w:vAlign w:val="bottom"/>
            <w:gridSpan w:val="18"/>
          </w:tcPr>
          <w:p>
            <w:pPr>
              <w:spacing w:after="0"/>
              <w:rPr>
                <w:sz w:val="20"/>
                <w:szCs w:val="20"/>
                <w:color w:val="auto"/>
              </w:rPr>
            </w:pPr>
            <w:r>
              <w:rPr>
                <w:rFonts w:ascii="Arial" w:cs="Arial" w:eastAsia="Arial" w:hAnsi="Arial"/>
                <w:sz w:val="14"/>
                <w:szCs w:val="14"/>
                <w:color w:val="0000FF"/>
              </w:rPr>
              <w:t>Legal Proceedings</w:t>
            </w:r>
          </w:p>
        </w:tc>
      </w:tr>
      <w:tr>
        <w:trPr>
          <w:trHeight w:val="235"/>
        </w:trPr>
        <w:tc>
          <w:tcPr>
            <w:tcW w:w="1300" w:type="dxa"/>
            <w:vAlign w:val="bottom"/>
          </w:tcPr>
          <w:p>
            <w:pPr>
              <w:spacing w:after="0"/>
              <w:rPr>
                <w:sz w:val="20"/>
                <w:szCs w:val="20"/>
                <w:color w:val="auto"/>
              </w:rPr>
            </w:pPr>
            <w:r>
              <w:rPr>
                <w:rFonts w:ascii="Arial" w:cs="Arial" w:eastAsia="Arial" w:hAnsi="Arial"/>
                <w:sz w:val="14"/>
                <w:szCs w:val="14"/>
                <w:color w:val="0000FF"/>
              </w:rPr>
              <w:t>Item 1A.</w:t>
            </w:r>
          </w:p>
        </w:tc>
        <w:tc>
          <w:tcPr>
            <w:tcW w:w="1040" w:type="dxa"/>
            <w:vAlign w:val="bottom"/>
            <w:tcBorders>
              <w:top w:val="single" w:sz="8" w:color="0000FF"/>
            </w:tcBorders>
            <w:gridSpan w:val="6"/>
          </w:tcPr>
          <w:p>
            <w:pPr>
              <w:spacing w:after="0"/>
              <w:rPr>
                <w:sz w:val="20"/>
                <w:szCs w:val="20"/>
                <w:color w:val="auto"/>
              </w:rPr>
            </w:pPr>
            <w:r>
              <w:rPr>
                <w:rFonts w:ascii="Arial" w:cs="Arial" w:eastAsia="Arial" w:hAnsi="Arial"/>
                <w:sz w:val="14"/>
                <w:szCs w:val="14"/>
                <w:color w:val="0000FF"/>
              </w:rPr>
              <w:t>Risk Factors</w:t>
            </w:r>
          </w:p>
        </w:tc>
        <w:tc>
          <w:tcPr>
            <w:tcW w:w="6540" w:type="dxa"/>
            <w:vAlign w:val="bottom"/>
            <w:gridSpan w:val="12"/>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4160" w:type="dxa"/>
            <w:vAlign w:val="bottom"/>
            <w:gridSpan w:val="7"/>
          </w:tcPr>
          <w:p>
            <w:pPr>
              <w:spacing w:after="0" w:line="20" w:lineRule="exact"/>
              <w:rPr>
                <w:sz w:val="1"/>
                <w:szCs w:val="1"/>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4"/>
                <w:szCs w:val="14"/>
                <w:color w:val="0000FF"/>
              </w:rPr>
              <w:t>Item 2.</w:t>
            </w:r>
          </w:p>
        </w:tc>
        <w:tc>
          <w:tcPr>
            <w:tcW w:w="3420" w:type="dxa"/>
            <w:vAlign w:val="bottom"/>
            <w:tcBorders>
              <w:bottom w:val="single" w:sz="8" w:color="0000FF"/>
            </w:tcBorders>
            <w:gridSpan w:val="11"/>
          </w:tcPr>
          <w:p>
            <w:pPr>
              <w:spacing w:after="0"/>
              <w:rPr>
                <w:sz w:val="20"/>
                <w:szCs w:val="20"/>
                <w:color w:val="auto"/>
              </w:rPr>
            </w:pPr>
            <w:r>
              <w:rPr>
                <w:rFonts w:ascii="Arial" w:cs="Arial" w:eastAsia="Arial" w:hAnsi="Arial"/>
                <w:sz w:val="14"/>
                <w:szCs w:val="14"/>
                <w:color w:val="0000FF"/>
                <w:w w:val="90"/>
              </w:rPr>
              <w:t>Unregistered Sales of Equity Securities and Use of Proceeds</w:t>
            </w:r>
          </w:p>
        </w:tc>
        <w:tc>
          <w:tcPr>
            <w:tcW w:w="4160" w:type="dxa"/>
            <w:vAlign w:val="bottom"/>
            <w:gridSpan w:val="7"/>
          </w:tcPr>
          <w:p>
            <w:pPr>
              <w:spacing w:after="0"/>
              <w:rPr>
                <w:sz w:val="20"/>
                <w:szCs w:val="20"/>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4"/>
                <w:szCs w:val="14"/>
                <w:color w:val="0000FF"/>
              </w:rPr>
              <w:t>Item 3.</w:t>
            </w:r>
          </w:p>
        </w:tc>
        <w:tc>
          <w:tcPr>
            <w:tcW w:w="7580" w:type="dxa"/>
            <w:vAlign w:val="bottom"/>
            <w:gridSpan w:val="18"/>
          </w:tcPr>
          <w:p>
            <w:pPr>
              <w:spacing w:after="0"/>
              <w:rPr>
                <w:sz w:val="20"/>
                <w:szCs w:val="20"/>
                <w:color w:val="auto"/>
              </w:rPr>
            </w:pPr>
            <w:r>
              <w:rPr>
                <w:rFonts w:ascii="Arial" w:cs="Arial" w:eastAsia="Arial" w:hAnsi="Arial"/>
                <w:sz w:val="14"/>
                <w:szCs w:val="14"/>
                <w:color w:val="0000FF"/>
              </w:rPr>
              <w:t>Defaults Upon Senior Securities</w:t>
            </w:r>
          </w:p>
        </w:tc>
      </w:tr>
      <w:tr>
        <w:trPr>
          <w:trHeight w:val="235"/>
        </w:trPr>
        <w:tc>
          <w:tcPr>
            <w:tcW w:w="1300" w:type="dxa"/>
            <w:vAlign w:val="bottom"/>
          </w:tcPr>
          <w:p>
            <w:pPr>
              <w:spacing w:after="0"/>
              <w:rPr>
                <w:sz w:val="20"/>
                <w:szCs w:val="20"/>
                <w:color w:val="auto"/>
              </w:rPr>
            </w:pPr>
            <w:r>
              <w:rPr>
                <w:rFonts w:ascii="Arial" w:cs="Arial" w:eastAsia="Arial" w:hAnsi="Arial"/>
                <w:sz w:val="14"/>
                <w:szCs w:val="14"/>
                <w:color w:val="0000FF"/>
              </w:rPr>
              <w:t>Item 4.</w:t>
            </w:r>
          </w:p>
        </w:tc>
        <w:tc>
          <w:tcPr>
            <w:tcW w:w="1820" w:type="dxa"/>
            <w:vAlign w:val="bottom"/>
            <w:tcBorders>
              <w:top w:val="single" w:sz="8" w:color="0000FF"/>
            </w:tcBorders>
            <w:gridSpan w:val="8"/>
          </w:tcPr>
          <w:p>
            <w:pPr>
              <w:spacing w:after="0"/>
              <w:rPr>
                <w:sz w:val="20"/>
                <w:szCs w:val="20"/>
                <w:color w:val="auto"/>
              </w:rPr>
            </w:pPr>
            <w:r>
              <w:rPr>
                <w:rFonts w:ascii="Arial" w:cs="Arial" w:eastAsia="Arial" w:hAnsi="Arial"/>
                <w:sz w:val="14"/>
                <w:szCs w:val="14"/>
                <w:color w:val="0000FF"/>
              </w:rPr>
              <w:t>Mine Safety Disclosures</w:t>
            </w:r>
          </w:p>
        </w:tc>
        <w:tc>
          <w:tcPr>
            <w:tcW w:w="5760" w:type="dxa"/>
            <w:vAlign w:val="bottom"/>
            <w:gridSpan w:val="10"/>
          </w:tcPr>
          <w:p>
            <w:pPr>
              <w:spacing w:after="0"/>
              <w:rPr>
                <w:sz w:val="20"/>
                <w:szCs w:val="20"/>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4"/>
                <w:szCs w:val="14"/>
                <w:color w:val="0000FF"/>
              </w:rPr>
              <w:t>Item 5.</w:t>
            </w:r>
          </w:p>
        </w:tc>
        <w:tc>
          <w:tcPr>
            <w:tcW w:w="1380" w:type="dxa"/>
            <w:vAlign w:val="bottom"/>
            <w:tcBorders>
              <w:top w:val="single" w:sz="8" w:color="0000FF"/>
            </w:tcBorders>
            <w:gridSpan w:val="7"/>
          </w:tcPr>
          <w:p>
            <w:pPr>
              <w:spacing w:after="0"/>
              <w:rPr>
                <w:sz w:val="20"/>
                <w:szCs w:val="20"/>
                <w:color w:val="auto"/>
              </w:rPr>
            </w:pPr>
            <w:r>
              <w:rPr>
                <w:rFonts w:ascii="Arial" w:cs="Arial" w:eastAsia="Arial" w:hAnsi="Arial"/>
                <w:sz w:val="14"/>
                <w:szCs w:val="14"/>
                <w:color w:val="0000FF"/>
              </w:rPr>
              <w:t>Other Information</w:t>
            </w:r>
          </w:p>
        </w:tc>
        <w:tc>
          <w:tcPr>
            <w:tcW w:w="6200" w:type="dxa"/>
            <w:vAlign w:val="bottom"/>
            <w:gridSpan w:val="11"/>
          </w:tcPr>
          <w:p>
            <w:pPr>
              <w:spacing w:after="0"/>
              <w:rPr>
                <w:sz w:val="20"/>
                <w:szCs w:val="20"/>
                <w:color w:val="auto"/>
              </w:rPr>
            </w:pPr>
          </w:p>
        </w:tc>
      </w:tr>
      <w:tr>
        <w:trPr>
          <w:trHeight w:val="235"/>
        </w:trPr>
        <w:tc>
          <w:tcPr>
            <w:tcW w:w="1300" w:type="dxa"/>
            <w:vAlign w:val="bottom"/>
          </w:tcPr>
          <w:p>
            <w:pPr>
              <w:spacing w:after="0"/>
              <w:rPr>
                <w:sz w:val="20"/>
                <w:szCs w:val="20"/>
                <w:color w:val="auto"/>
              </w:rPr>
            </w:pPr>
            <w:r>
              <w:rPr>
                <w:rFonts w:ascii="Arial" w:cs="Arial" w:eastAsia="Arial" w:hAnsi="Arial"/>
                <w:sz w:val="14"/>
                <w:szCs w:val="14"/>
                <w:color w:val="0000FF"/>
              </w:rPr>
              <w:t>Item 6.</w:t>
            </w:r>
          </w:p>
        </w:tc>
        <w:tc>
          <w:tcPr>
            <w:tcW w:w="1020" w:type="dxa"/>
            <w:vAlign w:val="bottom"/>
            <w:tcBorders>
              <w:top w:val="single" w:sz="8" w:color="0000FF"/>
            </w:tcBorders>
            <w:gridSpan w:val="5"/>
          </w:tcPr>
          <w:p>
            <w:pPr>
              <w:spacing w:after="0"/>
              <w:rPr>
                <w:sz w:val="20"/>
                <w:szCs w:val="20"/>
                <w:color w:val="auto"/>
              </w:rPr>
            </w:pPr>
            <w:r>
              <w:rPr>
                <w:rFonts w:ascii="Arial" w:cs="Arial" w:eastAsia="Arial" w:hAnsi="Arial"/>
                <w:sz w:val="14"/>
                <w:szCs w:val="14"/>
                <w:color w:val="0000FF"/>
              </w:rPr>
              <w:t>Exhibits</w:t>
            </w:r>
          </w:p>
        </w:tc>
        <w:tc>
          <w:tcPr>
            <w:tcW w:w="6560" w:type="dxa"/>
            <w:vAlign w:val="bottom"/>
            <w:gridSpan w:val="13"/>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20" w:type="dxa"/>
            <w:vAlign w:val="bottom"/>
            <w:gridSpan w:val="14"/>
          </w:tcPr>
          <w:p>
            <w:pPr>
              <w:spacing w:after="0" w:line="20" w:lineRule="exact"/>
              <w:rPr>
                <w:sz w:val="1"/>
                <w:szCs w:val="1"/>
                <w:color w:val="auto"/>
              </w:rPr>
            </w:pPr>
          </w:p>
        </w:tc>
      </w:tr>
      <w:tr>
        <w:trPr>
          <w:trHeight w:val="235"/>
        </w:trPr>
        <w:tc>
          <w:tcPr>
            <w:tcW w:w="1300" w:type="dxa"/>
            <w:vAlign w:val="bottom"/>
          </w:tcPr>
          <w:p>
            <w:pPr>
              <w:spacing w:after="0"/>
              <w:rPr>
                <w:sz w:val="20"/>
                <w:szCs w:val="20"/>
                <w:color w:val="auto"/>
              </w:rPr>
            </w:pPr>
          </w:p>
        </w:tc>
        <w:tc>
          <w:tcPr>
            <w:tcW w:w="7580" w:type="dxa"/>
            <w:vAlign w:val="bottom"/>
            <w:gridSpan w:val="18"/>
          </w:tcPr>
          <w:p>
            <w:pPr>
              <w:spacing w:after="0"/>
              <w:rPr>
                <w:sz w:val="20"/>
                <w:szCs w:val="20"/>
                <w:color w:val="auto"/>
              </w:rPr>
            </w:pPr>
            <w:r>
              <w:rPr>
                <w:rFonts w:ascii="Arial" w:cs="Arial" w:eastAsia="Arial" w:hAnsi="Arial"/>
                <w:sz w:val="14"/>
                <w:szCs w:val="14"/>
                <w:color w:val="0000FF"/>
              </w:rPr>
              <w:t>Exhibit Index</w:t>
            </w:r>
          </w:p>
        </w:tc>
      </w:tr>
      <w:tr>
        <w:trPr>
          <w:trHeight w:val="235"/>
        </w:trPr>
        <w:tc>
          <w:tcPr>
            <w:tcW w:w="1300" w:type="dxa"/>
            <w:vAlign w:val="bottom"/>
          </w:tcPr>
          <w:p>
            <w:pPr>
              <w:spacing w:after="0"/>
              <w:rPr>
                <w:sz w:val="20"/>
                <w:szCs w:val="20"/>
                <w:color w:val="auto"/>
              </w:rPr>
            </w:pPr>
          </w:p>
        </w:tc>
        <w:tc>
          <w:tcPr>
            <w:tcW w:w="6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4"/>
                <w:szCs w:val="14"/>
                <w:color w:val="0000FF"/>
                <w:w w:val="86"/>
              </w:rPr>
              <w:t>Signatures</w:t>
            </w:r>
          </w:p>
        </w:tc>
        <w:tc>
          <w:tcPr>
            <w:tcW w:w="160" w:type="dxa"/>
            <w:vAlign w:val="bottom"/>
            <w:tcBorders>
              <w:top w:val="single" w:sz="8" w:color="0000FF"/>
            </w:tcBorders>
            <w:gridSpan w:val="2"/>
          </w:tcPr>
          <w:p>
            <w:pPr>
              <w:spacing w:after="0"/>
              <w:rPr>
                <w:sz w:val="20"/>
                <w:szCs w:val="20"/>
                <w:color w:val="auto"/>
              </w:rPr>
            </w:pPr>
          </w:p>
        </w:tc>
        <w:tc>
          <w:tcPr>
            <w:tcW w:w="6820" w:type="dxa"/>
            <w:vAlign w:val="bottom"/>
            <w:gridSpan w:val="14"/>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532765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-3394710</wp:posOffset>
            </wp:positionV>
            <wp:extent cx="7148195" cy="1619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6192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-3071495</wp:posOffset>
            </wp:positionV>
            <wp:extent cx="7148195" cy="161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6192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-2748280</wp:posOffset>
            </wp:positionV>
            <wp:extent cx="7148195" cy="1619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6192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-2425065</wp:posOffset>
            </wp:positionV>
            <wp:extent cx="7148195" cy="161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6192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-2101215</wp:posOffset>
            </wp:positionV>
            <wp:extent cx="7148195" cy="161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6192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-1778000</wp:posOffset>
            </wp:positionV>
            <wp:extent cx="7148195" cy="134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34620"/>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-1528445</wp:posOffset>
            </wp:positionV>
            <wp:extent cx="7148195" cy="134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34620"/>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-1232535</wp:posOffset>
            </wp:positionV>
            <wp:extent cx="7148195" cy="161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6192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-908685</wp:posOffset>
            </wp:positionV>
            <wp:extent cx="7148195" cy="161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6192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-585470</wp:posOffset>
            </wp:positionV>
            <wp:extent cx="7148195" cy="161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161925"/>
                    </a:xfrm>
                    <a:prstGeom prst="rect">
                      <a:avLst/>
                    </a:prstGeom>
                    <a:noFill/>
                  </pic:spPr>
                </pic:pic>
              </a:graphicData>
            </a:graphic>
          </wp:anchor>
        </w:drawing>
        <w:drawing>
          <wp:anchor simplePos="0" relativeHeight="251657728" behindDoc="1" locked="0" layoutInCell="0" allowOverlap="1">
            <wp:simplePos x="0" y="0"/>
            <wp:positionH relativeFrom="column">
              <wp:posOffset>-27940</wp:posOffset>
            </wp:positionH>
            <wp:positionV relativeFrom="paragraph">
              <wp:posOffset>-262255</wp:posOffset>
            </wp:positionV>
            <wp:extent cx="7148195" cy="161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1619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color w:val="auto"/>
        </w:rPr>
        <w:t>Page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-173355</wp:posOffset>
            </wp:positionH>
            <wp:positionV relativeFrom="paragraph">
              <wp:posOffset>26670</wp:posOffset>
            </wp:positionV>
            <wp:extent cx="84201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42010" cy="6985"/>
                    </a:xfrm>
                    <a:prstGeom prst="rect">
                      <a:avLst/>
                    </a:prstGeom>
                    <a:noFill/>
                  </pic:spPr>
                </pic:pic>
              </a:graphicData>
            </a:graphic>
          </wp:anchor>
        </w:drawing>
      </w:r>
    </w:p>
    <w:p>
      <w:pPr>
        <w:spacing w:after="0" w:line="362" w:lineRule="exact"/>
        <w:rPr>
          <w:sz w:val="20"/>
          <w:szCs w:val="20"/>
          <w:color w:val="auto"/>
        </w:rPr>
      </w:pPr>
    </w:p>
    <w:p>
      <w:pPr>
        <w:ind w:left="360"/>
        <w:spacing w:after="0"/>
        <w:rPr>
          <w:sz w:val="20"/>
          <w:szCs w:val="20"/>
          <w:color w:val="auto"/>
        </w:rPr>
      </w:pPr>
      <w:r>
        <w:rPr>
          <w:rFonts w:ascii="Arial" w:cs="Arial" w:eastAsia="Arial" w:hAnsi="Arial"/>
          <w:sz w:val="14"/>
          <w:szCs w:val="14"/>
          <w:color w:val="0000FF"/>
        </w:rPr>
        <w:t>1</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4"/>
          <w:szCs w:val="14"/>
          <w:color w:val="0000FF"/>
        </w:rPr>
        <w:t>1</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4"/>
          <w:szCs w:val="14"/>
          <w:color w:val="0000FF"/>
        </w:rPr>
        <w:t>2</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4"/>
          <w:szCs w:val="14"/>
          <w:color w:val="0000FF"/>
        </w:rPr>
        <w:t>3</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4"/>
          <w:szCs w:val="14"/>
          <w:color w:val="0000FF"/>
        </w:rPr>
        <w:t>4</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4"/>
          <w:szCs w:val="14"/>
          <w:color w:val="0000FF"/>
        </w:rPr>
        <w:t>5</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4"/>
          <w:szCs w:val="14"/>
          <w:color w:val="0000FF"/>
        </w:rPr>
        <w:t>6</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0000FF"/>
        </w:rPr>
        <w:t>23</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0000FF"/>
        </w:rPr>
        <w:t>34</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0000FF"/>
        </w:rPr>
        <w:t>34</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20"/>
        <w:spacing w:after="0"/>
        <w:rPr>
          <w:sz w:val="20"/>
          <w:szCs w:val="20"/>
          <w:color w:val="auto"/>
        </w:rPr>
      </w:pPr>
      <w:r>
        <w:rPr>
          <w:rFonts w:ascii="Arial" w:cs="Arial" w:eastAsia="Arial" w:hAnsi="Arial"/>
          <w:sz w:val="14"/>
          <w:szCs w:val="14"/>
          <w:color w:val="0000FF"/>
        </w:rPr>
        <w:t>35</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0000FF"/>
        </w:rPr>
        <w:t>35</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0000FF"/>
        </w:rPr>
        <w:t>69</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0000FF"/>
        </w:rPr>
        <w:t>69</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0000FF"/>
        </w:rPr>
        <w:t>70</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0000FF"/>
        </w:rPr>
        <w:t>70</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0000FF"/>
        </w:rPr>
        <w:t>70</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0000FF"/>
        </w:rPr>
        <w:t>70</w:t>
      </w:r>
    </w:p>
    <w:p>
      <w:pPr>
        <w:spacing w:after="0" w:line="94" w:lineRule="exact"/>
        <w:rPr>
          <w:sz w:val="20"/>
          <w:szCs w:val="20"/>
          <w:color w:val="auto"/>
        </w:rPr>
      </w:pPr>
    </w:p>
    <w:p>
      <w:pPr>
        <w:ind w:left="320"/>
        <w:spacing w:after="0"/>
        <w:rPr>
          <w:sz w:val="20"/>
          <w:szCs w:val="20"/>
          <w:color w:val="auto"/>
        </w:rPr>
      </w:pPr>
      <w:r>
        <w:rPr>
          <w:rFonts w:ascii="Arial" w:cs="Arial" w:eastAsia="Arial" w:hAnsi="Arial"/>
          <w:sz w:val="14"/>
          <w:szCs w:val="14"/>
          <w:color w:val="0000FF"/>
        </w:rPr>
        <w:t>72</w:t>
      </w:r>
    </w:p>
    <w:p>
      <w:pPr>
        <w:sectPr>
          <w:pgSz w:w="11900" w:h="16838" w:orient="portrait"/>
          <w:cols w:equalWidth="0" w:num="2">
            <w:col w:w="9440" w:space="720"/>
            <w:col w:w="780"/>
          </w:cols>
          <w:pgMar w:left="360" w:top="734" w:right="599" w:bottom="1440" w:gutter="0" w:footer="0" w:header="0"/>
        </w:sectPr>
      </w:pPr>
    </w:p>
    <w:bookmarkStart w:id="3" w:name="page4"/>
    <w:bookmarkEnd w:id="3"/>
    <w:p>
      <w:pPr>
        <w:jc w:val="center"/>
        <w:spacing w:after="0"/>
        <w:rPr>
          <w:sz w:val="20"/>
          <w:szCs w:val="20"/>
          <w:color w:val="auto"/>
        </w:rPr>
      </w:pPr>
      <w:r>
        <w:rPr>
          <w:rFonts w:ascii="Arial" w:cs="Arial" w:eastAsia="Arial" w:hAnsi="Arial"/>
          <w:sz w:val="14"/>
          <w:szCs w:val="14"/>
          <w:b w:val="1"/>
          <w:bCs w:val="1"/>
          <w:color w:val="auto"/>
        </w:rPr>
        <w:t>PART I. FINANCIAL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Consolidated Financial Statements (unaudited)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AnaptysBio,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par value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ind w:left="120"/>
              <w:spacing w:after="0"/>
              <w:rPr>
                <w:sz w:val="20"/>
                <w:szCs w:val="20"/>
                <w:color w:val="auto"/>
              </w:rPr>
            </w:pPr>
            <w:r>
              <w:rPr>
                <w:rFonts w:ascii="Arial" w:cs="Arial" w:eastAsia="Arial" w:hAnsi="Arial"/>
                <w:sz w:val="11"/>
                <w:szCs w:val="11"/>
                <w:b w:val="1"/>
                <w:bCs w:val="1"/>
                <w:color w:val="auto"/>
              </w:rPr>
              <w:t>September 30, 2022</w:t>
            </w:r>
          </w:p>
        </w:tc>
        <w:tc>
          <w:tcPr>
            <w:tcW w:w="200" w:type="dxa"/>
            <w:vAlign w:val="bottom"/>
          </w:tcPr>
          <w:p>
            <w:pPr>
              <w:spacing w:after="0"/>
              <w:rPr>
                <w:sz w:val="13"/>
                <w:szCs w:val="13"/>
                <w:color w:val="auto"/>
              </w:rPr>
            </w:pPr>
          </w:p>
        </w:tc>
        <w:tc>
          <w:tcPr>
            <w:tcW w:w="1380" w:type="dxa"/>
            <w:vAlign w:val="bottom"/>
          </w:tcPr>
          <w:p>
            <w:pPr>
              <w:jc w:val="right"/>
              <w:ind w:right="277"/>
              <w:spacing w:after="0"/>
              <w:rPr>
                <w:sz w:val="20"/>
                <w:szCs w:val="20"/>
                <w:color w:val="auto"/>
              </w:rPr>
            </w:pPr>
            <w:r>
              <w:rPr>
                <w:rFonts w:ascii="Arial" w:cs="Arial" w:eastAsia="Arial" w:hAnsi="Arial"/>
                <w:sz w:val="11"/>
                <w:szCs w:val="11"/>
                <w:b w:val="1"/>
                <w:bCs w:val="1"/>
                <w:color w:val="auto"/>
              </w:rPr>
              <w:t>December 31, 2021</w:t>
            </w:r>
          </w:p>
        </w:tc>
        <w:tc>
          <w:tcPr>
            <w:tcW w:w="0" w:type="dxa"/>
            <w:vAlign w:val="bottom"/>
          </w:tcPr>
          <w:p>
            <w:pPr>
              <w:spacing w:after="0"/>
              <w:rPr>
                <w:sz w:val="1"/>
                <w:szCs w:val="1"/>
                <w:color w:val="auto"/>
              </w:rPr>
            </w:pPr>
          </w:p>
        </w:tc>
      </w:tr>
      <w:tr>
        <w:trPr>
          <w:trHeight w:val="199"/>
        </w:trPr>
        <w:tc>
          <w:tcPr>
            <w:tcW w:w="8020" w:type="dxa"/>
            <w:vAlign w:val="bottom"/>
          </w:tcPr>
          <w:p>
            <w:pPr>
              <w:ind w:left="5400"/>
              <w:spacing w:after="0"/>
              <w:rPr>
                <w:sz w:val="20"/>
                <w:szCs w:val="20"/>
                <w:color w:val="auto"/>
              </w:rPr>
            </w:pPr>
            <w:r>
              <w:rPr>
                <w:rFonts w:ascii="Arial" w:cs="Arial" w:eastAsia="Arial" w:hAnsi="Arial"/>
                <w:sz w:val="13"/>
                <w:szCs w:val="13"/>
                <w:b w:val="1"/>
                <w:bCs w:val="1"/>
                <w:color w:val="auto"/>
              </w:rPr>
              <w:t>ASSETS</w:t>
            </w: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assets:</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20" w:type="dxa"/>
            <w:vAlign w:val="bottom"/>
          </w:tcPr>
          <w:p>
            <w:pPr>
              <w:ind w:left="20"/>
              <w:spacing w:after="0"/>
              <w:rPr>
                <w:sz w:val="20"/>
                <w:szCs w:val="20"/>
                <w:color w:val="auto"/>
              </w:rPr>
            </w:pPr>
            <w:r>
              <w:rPr>
                <w:rFonts w:ascii="Arial" w:cs="Arial" w:eastAsia="Arial" w:hAnsi="Arial"/>
                <w:sz w:val="13"/>
                <w:szCs w:val="13"/>
                <w:color w:val="auto"/>
              </w:rPr>
              <w:t>Cash and cash equivalents</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58,547</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495,729</w:t>
            </w: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Receivables from collaborative partners</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876</w:t>
            </w:r>
          </w:p>
        </w:tc>
        <w:tc>
          <w:tcPr>
            <w:tcW w:w="0" w:type="dxa"/>
            <w:vAlign w:val="bottom"/>
          </w:tcPr>
          <w:p>
            <w:pPr>
              <w:spacing w:after="0"/>
              <w:rPr>
                <w:sz w:val="1"/>
                <w:szCs w:val="1"/>
                <w:color w:val="auto"/>
              </w:rPr>
            </w:pPr>
          </w:p>
        </w:tc>
      </w:tr>
      <w:tr>
        <w:trPr>
          <w:trHeight w:val="168"/>
        </w:trPr>
        <w:tc>
          <w:tcPr>
            <w:tcW w:w="8020" w:type="dxa"/>
            <w:vAlign w:val="bottom"/>
          </w:tcPr>
          <w:p>
            <w:pPr>
              <w:ind w:left="20"/>
              <w:spacing w:after="0"/>
              <w:rPr>
                <w:sz w:val="20"/>
                <w:szCs w:val="20"/>
                <w:color w:val="auto"/>
              </w:rPr>
            </w:pPr>
            <w:r>
              <w:rPr>
                <w:rFonts w:ascii="Arial" w:cs="Arial" w:eastAsia="Arial" w:hAnsi="Arial"/>
                <w:sz w:val="13"/>
                <w:szCs w:val="13"/>
                <w:color w:val="auto"/>
              </w:rPr>
              <w:t>Short-term investments</w:t>
            </w: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384,419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52,368</w:t>
            </w: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Prepaid expenses and other current assets</w:t>
            </w:r>
          </w:p>
        </w:tc>
        <w:tc>
          <w:tcPr>
            <w:tcW w:w="2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6,298</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4,903</w:t>
            </w:r>
          </w:p>
        </w:tc>
        <w:tc>
          <w:tcPr>
            <w:tcW w:w="0" w:type="dxa"/>
            <w:vAlign w:val="bottom"/>
          </w:tcPr>
          <w:p>
            <w:pPr>
              <w:spacing w:after="0"/>
              <w:rPr>
                <w:sz w:val="1"/>
                <w:szCs w:val="1"/>
                <w:color w:val="auto"/>
              </w:rPr>
            </w:pPr>
          </w:p>
        </w:tc>
      </w:tr>
      <w:tr>
        <w:trPr>
          <w:trHeight w:val="158"/>
        </w:trPr>
        <w:tc>
          <w:tcPr>
            <w:tcW w:w="8020" w:type="dxa"/>
            <w:vAlign w:val="bottom"/>
          </w:tcPr>
          <w:p>
            <w:pPr>
              <w:ind w:left="600"/>
              <w:spacing w:after="0" w:line="146" w:lineRule="exact"/>
              <w:rPr>
                <w:sz w:val="20"/>
                <w:szCs w:val="20"/>
                <w:color w:val="auto"/>
              </w:rPr>
            </w:pPr>
            <w:r>
              <w:rPr>
                <w:rFonts w:ascii="Arial" w:cs="Arial" w:eastAsia="Arial" w:hAnsi="Arial"/>
                <w:sz w:val="13"/>
                <w:szCs w:val="13"/>
                <w:color w:val="auto"/>
              </w:rPr>
              <w:t>Total current assets</w:t>
            </w:r>
          </w:p>
        </w:tc>
        <w:tc>
          <w:tcPr>
            <w:tcW w:w="20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450,444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553,876</w:t>
            </w: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and equipment, net</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2,283</w:t>
            </w:r>
          </w:p>
        </w:tc>
        <w:tc>
          <w:tcPr>
            <w:tcW w:w="0" w:type="dxa"/>
            <w:vAlign w:val="bottom"/>
          </w:tcPr>
          <w:p>
            <w:pPr>
              <w:spacing w:after="0"/>
              <w:rPr>
                <w:sz w:val="1"/>
                <w:szCs w:val="1"/>
                <w:color w:val="auto"/>
              </w:rPr>
            </w:pPr>
          </w:p>
        </w:tc>
      </w:tr>
      <w:tr>
        <w:trPr>
          <w:trHeight w:val="168"/>
        </w:trPr>
        <w:tc>
          <w:tcPr>
            <w:tcW w:w="8020" w:type="dxa"/>
            <w:vAlign w:val="bottom"/>
          </w:tcPr>
          <w:p>
            <w:pPr>
              <w:ind w:left="20"/>
              <w:spacing w:after="0"/>
              <w:rPr>
                <w:sz w:val="20"/>
                <w:szCs w:val="20"/>
                <w:color w:val="auto"/>
              </w:rPr>
            </w:pPr>
            <w:r>
              <w:rPr>
                <w:rFonts w:ascii="Arial" w:cs="Arial" w:eastAsia="Arial" w:hAnsi="Arial"/>
                <w:sz w:val="13"/>
                <w:szCs w:val="13"/>
                <w:color w:val="auto"/>
              </w:rPr>
              <w:t>Operating lease right-of-use assets</w:t>
            </w: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18,320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19,558</w:t>
            </w: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Long-term investments</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147,511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67,097</w:t>
            </w:r>
          </w:p>
        </w:tc>
        <w:tc>
          <w:tcPr>
            <w:tcW w:w="0" w:type="dxa"/>
            <w:vAlign w:val="bottom"/>
          </w:tcPr>
          <w:p>
            <w:pPr>
              <w:spacing w:after="0"/>
              <w:rPr>
                <w:sz w:val="1"/>
                <w:szCs w:val="1"/>
                <w:color w:val="auto"/>
              </w:rPr>
            </w:pPr>
          </w:p>
        </w:tc>
      </w:tr>
      <w:tr>
        <w:trPr>
          <w:trHeight w:val="16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long-term assets</w:t>
            </w: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shd w:val="clear" w:color="auto" w:fill="CCEEFF"/>
          </w:tcPr>
          <w:p>
            <w:pPr>
              <w:ind w:left="400"/>
              <w:spacing w:after="0" w:line="148" w:lineRule="exact"/>
              <w:rPr>
                <w:sz w:val="20"/>
                <w:szCs w:val="20"/>
                <w:color w:val="auto"/>
              </w:rPr>
            </w:pPr>
            <w:r>
              <w:rPr>
                <w:rFonts w:ascii="Arial" w:cs="Arial" w:eastAsia="Arial" w:hAnsi="Arial"/>
                <w:sz w:val="13"/>
                <w:szCs w:val="13"/>
                <w:color w:val="auto"/>
              </w:rPr>
              <w:t>Total assets</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618,503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643,070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4260"/>
              <w:spacing w:after="0"/>
              <w:rPr>
                <w:sz w:val="20"/>
                <w:szCs w:val="20"/>
                <w:color w:val="auto"/>
              </w:rPr>
            </w:pPr>
            <w:r>
              <w:rPr>
                <w:rFonts w:ascii="Arial" w:cs="Arial" w:eastAsia="Arial" w:hAnsi="Arial"/>
                <w:sz w:val="13"/>
                <w:szCs w:val="13"/>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80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liabilities:</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20" w:type="dxa"/>
            <w:vAlign w:val="bottom"/>
          </w:tcPr>
          <w:p>
            <w:pPr>
              <w:ind w:left="20"/>
              <w:spacing w:after="0"/>
              <w:rPr>
                <w:sz w:val="20"/>
                <w:szCs w:val="20"/>
                <w:color w:val="auto"/>
              </w:rPr>
            </w:pPr>
            <w:r>
              <w:rPr>
                <w:rFonts w:ascii="Arial" w:cs="Arial" w:eastAsia="Arial" w:hAnsi="Arial"/>
                <w:sz w:val="13"/>
                <w:szCs w:val="13"/>
                <w:color w:val="auto"/>
              </w:rPr>
              <w:t>Accounts payable</w:t>
            </w: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3,006</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Arial" w:cs="Arial" w:eastAsia="Arial" w:hAnsi="Arial"/>
                <w:sz w:val="13"/>
                <w:szCs w:val="13"/>
                <w:color w:val="auto"/>
                <w:w w:val="82"/>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1,741</w:t>
            </w: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expenses</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16,453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12,853</w:t>
            </w:r>
          </w:p>
        </w:tc>
        <w:tc>
          <w:tcPr>
            <w:tcW w:w="0" w:type="dxa"/>
            <w:vAlign w:val="bottom"/>
          </w:tcPr>
          <w:p>
            <w:pPr>
              <w:spacing w:after="0"/>
              <w:rPr>
                <w:sz w:val="1"/>
                <w:szCs w:val="1"/>
                <w:color w:val="auto"/>
              </w:rPr>
            </w:pPr>
          </w:p>
        </w:tc>
      </w:tr>
      <w:tr>
        <w:trPr>
          <w:trHeight w:val="168"/>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Current portion of operating lease liability</w:t>
            </w: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1,604</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1,505</w:t>
            </w:r>
          </w:p>
        </w:tc>
        <w:tc>
          <w:tcPr>
            <w:tcW w:w="0" w:type="dxa"/>
            <w:vAlign w:val="bottom"/>
          </w:tcPr>
          <w:p>
            <w:pPr>
              <w:spacing w:after="0"/>
              <w:rPr>
                <w:sz w:val="1"/>
                <w:szCs w:val="1"/>
                <w:color w:val="auto"/>
              </w:rPr>
            </w:pPr>
          </w:p>
        </w:tc>
      </w:tr>
      <w:tr>
        <w:trPr>
          <w:trHeight w:val="163"/>
        </w:trPr>
        <w:tc>
          <w:tcPr>
            <w:tcW w:w="8020" w:type="dxa"/>
            <w:vAlign w:val="bottom"/>
            <w:shd w:val="clear" w:color="auto" w:fill="CCEEFF"/>
          </w:tcPr>
          <w:p>
            <w:pPr>
              <w:ind w:left="600"/>
              <w:spacing w:after="0" w:line="148" w:lineRule="exact"/>
              <w:rPr>
                <w:sz w:val="20"/>
                <w:szCs w:val="20"/>
                <w:color w:val="auto"/>
              </w:rPr>
            </w:pPr>
            <w:r>
              <w:rPr>
                <w:rFonts w:ascii="Arial" w:cs="Arial" w:eastAsia="Arial" w:hAnsi="Arial"/>
                <w:sz w:val="13"/>
                <w:szCs w:val="13"/>
                <w:color w:val="auto"/>
              </w:rPr>
              <w:t>Total current liabilities</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21,063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16,099</w:t>
            </w:r>
          </w:p>
        </w:tc>
        <w:tc>
          <w:tcPr>
            <w:tcW w:w="0" w:type="dxa"/>
            <w:vAlign w:val="bottom"/>
          </w:tcPr>
          <w:p>
            <w:pPr>
              <w:spacing w:after="0"/>
              <w:rPr>
                <w:sz w:val="1"/>
                <w:szCs w:val="1"/>
                <w:color w:val="auto"/>
              </w:rPr>
            </w:pPr>
          </w:p>
        </w:tc>
      </w:tr>
      <w:tr>
        <w:trPr>
          <w:trHeight w:val="168"/>
        </w:trPr>
        <w:tc>
          <w:tcPr>
            <w:tcW w:w="8020" w:type="dxa"/>
            <w:vAlign w:val="bottom"/>
          </w:tcPr>
          <w:p>
            <w:pPr>
              <w:ind w:left="20"/>
              <w:spacing w:after="0"/>
              <w:rPr>
                <w:sz w:val="20"/>
                <w:szCs w:val="20"/>
                <w:color w:val="auto"/>
              </w:rPr>
            </w:pPr>
            <w:r>
              <w:rPr>
                <w:rFonts w:ascii="Arial" w:cs="Arial" w:eastAsia="Arial" w:hAnsi="Arial"/>
                <w:sz w:val="13"/>
                <w:szCs w:val="13"/>
                <w:color w:val="auto"/>
              </w:rPr>
              <w:t>Liability related to sale of future royalties</w:t>
            </w: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301,586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251,093</w:t>
            </w: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liability, net of current portion</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18,235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19,450</w:t>
            </w:r>
          </w:p>
        </w:tc>
        <w:tc>
          <w:tcPr>
            <w:tcW w:w="0" w:type="dxa"/>
            <w:vAlign w:val="bottom"/>
          </w:tcPr>
          <w:p>
            <w:pPr>
              <w:spacing w:after="0"/>
              <w:rPr>
                <w:sz w:val="1"/>
                <w:szCs w:val="1"/>
                <w:color w:val="auto"/>
              </w:rPr>
            </w:pPr>
          </w:p>
        </w:tc>
      </w:tr>
      <w:tr>
        <w:trPr>
          <w:trHeight w:val="168"/>
        </w:trPr>
        <w:tc>
          <w:tcPr>
            <w:tcW w:w="8020" w:type="dxa"/>
            <w:vAlign w:val="bottom"/>
          </w:tcPr>
          <w:p>
            <w:pPr>
              <w:ind w:left="20"/>
              <w:spacing w:after="0"/>
              <w:rPr>
                <w:sz w:val="20"/>
                <w:szCs w:val="20"/>
                <w:color w:val="auto"/>
              </w:rPr>
            </w:pPr>
            <w:r>
              <w:rPr>
                <w:rFonts w:ascii="Arial" w:cs="Arial" w:eastAsia="Arial" w:hAnsi="Arial"/>
                <w:sz w:val="13"/>
                <w:szCs w:val="13"/>
                <w:color w:val="auto"/>
              </w:rPr>
              <w:t>Stockholders’ equity:</w:t>
            </w: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8020" w:type="dxa"/>
            <w:vAlign w:val="bottom"/>
            <w:shd w:val="clear" w:color="auto" w:fill="CCEEFF"/>
          </w:tcPr>
          <w:p>
            <w:pPr>
              <w:ind w:left="20"/>
              <w:spacing w:after="0" w:line="144" w:lineRule="exact"/>
              <w:rPr>
                <w:sz w:val="20"/>
                <w:szCs w:val="20"/>
                <w:color w:val="auto"/>
              </w:rPr>
            </w:pPr>
            <w:r>
              <w:rPr>
                <w:rFonts w:ascii="Arial" w:cs="Arial" w:eastAsia="Arial" w:hAnsi="Arial"/>
                <w:sz w:val="13"/>
                <w:szCs w:val="13"/>
                <w:color w:val="auto"/>
                <w:w w:val="94"/>
              </w:rPr>
              <w:t>Preferred stock, $0.001 par value, 10,000 shares authorized and no shares, issued or outstanding at September 30, 2022 and December 31, 2021,</w:t>
            </w:r>
          </w:p>
        </w:tc>
        <w:tc>
          <w:tcPr>
            <w:tcW w:w="200" w:type="dxa"/>
            <w:vAlign w:val="bottom"/>
            <w:shd w:val="clear" w:color="auto" w:fill="CCEEFF"/>
          </w:tcPr>
          <w:p>
            <w:pPr>
              <w:spacing w:after="0"/>
              <w:rPr>
                <w:sz w:val="12"/>
                <w:szCs w:val="12"/>
                <w:color w:val="auto"/>
              </w:rPr>
            </w:pPr>
          </w:p>
        </w:tc>
        <w:tc>
          <w:tcPr>
            <w:tcW w:w="14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respectively</w:t>
            </w:r>
          </w:p>
        </w:tc>
        <w:tc>
          <w:tcPr>
            <w:tcW w:w="200" w:type="dxa"/>
            <w:vAlign w:val="bottom"/>
            <w:shd w:val="clear" w:color="auto" w:fill="CCEEFF"/>
          </w:tcPr>
          <w:p>
            <w:pPr>
              <w:spacing w:after="0"/>
              <w:rPr>
                <w:sz w:val="14"/>
                <w:szCs w:val="14"/>
                <w:color w:val="auto"/>
              </w:rPr>
            </w:pPr>
          </w:p>
        </w:tc>
        <w:tc>
          <w:tcPr>
            <w:tcW w:w="148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8020" w:type="dxa"/>
            <w:vAlign w:val="bottom"/>
          </w:tcPr>
          <w:p>
            <w:pPr>
              <w:ind w:left="20"/>
              <w:spacing w:after="0" w:line="131" w:lineRule="exact"/>
              <w:rPr>
                <w:sz w:val="20"/>
                <w:szCs w:val="20"/>
                <w:color w:val="auto"/>
              </w:rPr>
            </w:pPr>
            <w:r>
              <w:rPr>
                <w:rFonts w:ascii="Arial" w:cs="Arial" w:eastAsia="Arial" w:hAnsi="Arial"/>
                <w:sz w:val="13"/>
                <w:szCs w:val="13"/>
                <w:color w:val="auto"/>
                <w:w w:val="93"/>
              </w:rPr>
              <w:t>Common stock, $0.001 par value, 500,000 shares authorized, 28,354 shares and 27,647 shares issued and outstanding at September 30, 2022 and</w:t>
            </w:r>
          </w:p>
        </w:tc>
        <w:tc>
          <w:tcPr>
            <w:tcW w:w="200" w:type="dxa"/>
            <w:vAlign w:val="bottom"/>
          </w:tcPr>
          <w:p>
            <w:pPr>
              <w:spacing w:after="0"/>
              <w:rPr>
                <w:sz w:val="11"/>
                <w:szCs w:val="11"/>
                <w:color w:val="auto"/>
              </w:rPr>
            </w:pPr>
          </w:p>
        </w:tc>
        <w:tc>
          <w:tcPr>
            <w:tcW w:w="1380" w:type="dxa"/>
            <w:vAlign w:val="bottom"/>
            <w:vMerge w:val="restart"/>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vMerge w:val="restart"/>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64"/>
        </w:trPr>
        <w:tc>
          <w:tcPr>
            <w:tcW w:w="8020" w:type="dxa"/>
            <w:vAlign w:val="bottom"/>
          </w:tcPr>
          <w:p>
            <w:pPr>
              <w:ind w:left="20"/>
              <w:spacing w:after="0"/>
              <w:rPr>
                <w:sz w:val="20"/>
                <w:szCs w:val="20"/>
                <w:color w:val="auto"/>
              </w:rPr>
            </w:pPr>
            <w:r>
              <w:rPr>
                <w:rFonts w:ascii="Arial" w:cs="Arial" w:eastAsia="Arial" w:hAnsi="Arial"/>
                <w:sz w:val="13"/>
                <w:szCs w:val="13"/>
                <w:color w:val="auto"/>
              </w:rPr>
              <w:t>December 31, 2021, respectively</w:t>
            </w:r>
          </w:p>
        </w:tc>
        <w:tc>
          <w:tcPr>
            <w:tcW w:w="2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Additional paid in capital</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707,662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678,575</w:t>
            </w:r>
          </w:p>
        </w:tc>
        <w:tc>
          <w:tcPr>
            <w:tcW w:w="0" w:type="dxa"/>
            <w:vAlign w:val="bottom"/>
          </w:tcPr>
          <w:p>
            <w:pPr>
              <w:spacing w:after="0"/>
              <w:rPr>
                <w:sz w:val="1"/>
                <w:szCs w:val="1"/>
                <w:color w:val="auto"/>
              </w:rPr>
            </w:pPr>
          </w:p>
        </w:tc>
      </w:tr>
      <w:tr>
        <w:trPr>
          <w:trHeight w:val="168"/>
        </w:trPr>
        <w:tc>
          <w:tcPr>
            <w:tcW w:w="8020" w:type="dxa"/>
            <w:vAlign w:val="bottom"/>
          </w:tcPr>
          <w:p>
            <w:pPr>
              <w:ind w:left="20"/>
              <w:spacing w:after="0"/>
              <w:rPr>
                <w:sz w:val="20"/>
                <w:szCs w:val="20"/>
                <w:color w:val="auto"/>
              </w:rPr>
            </w:pPr>
            <w:r>
              <w:rPr>
                <w:rFonts w:ascii="Arial" w:cs="Arial" w:eastAsia="Arial" w:hAnsi="Arial"/>
                <w:sz w:val="13"/>
                <w:szCs w:val="13"/>
                <w:color w:val="auto"/>
              </w:rPr>
              <w:t>Accumulated other comprehensive loss</w:t>
            </w: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(6,007)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(422)</w:t>
            </w: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Accumulated deficit</w:t>
            </w:r>
          </w:p>
        </w:tc>
        <w:tc>
          <w:tcPr>
            <w:tcW w:w="2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(424,064)</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(321,753)</w:t>
            </w:r>
          </w:p>
        </w:tc>
        <w:tc>
          <w:tcPr>
            <w:tcW w:w="0" w:type="dxa"/>
            <w:vAlign w:val="bottom"/>
          </w:tcPr>
          <w:p>
            <w:pPr>
              <w:spacing w:after="0"/>
              <w:rPr>
                <w:sz w:val="1"/>
                <w:szCs w:val="1"/>
                <w:color w:val="auto"/>
              </w:rPr>
            </w:pPr>
          </w:p>
        </w:tc>
      </w:tr>
      <w:tr>
        <w:trPr>
          <w:trHeight w:val="158"/>
        </w:trPr>
        <w:tc>
          <w:tcPr>
            <w:tcW w:w="8020" w:type="dxa"/>
            <w:vAlign w:val="bottom"/>
            <w:tcBorders>
              <w:bottom w:val="single" w:sz="8" w:color="CCEEFF"/>
            </w:tcBorders>
          </w:tcPr>
          <w:p>
            <w:pPr>
              <w:ind w:left="220"/>
              <w:spacing w:after="0" w:line="146" w:lineRule="exact"/>
              <w:rPr>
                <w:sz w:val="20"/>
                <w:szCs w:val="20"/>
                <w:color w:val="auto"/>
              </w:rPr>
            </w:pPr>
            <w:r>
              <w:rPr>
                <w:rFonts w:ascii="Arial" w:cs="Arial" w:eastAsia="Arial" w:hAnsi="Arial"/>
                <w:sz w:val="13"/>
                <w:szCs w:val="13"/>
                <w:color w:val="auto"/>
              </w:rPr>
              <w:t>Total stockholders’ equity</w:t>
            </w: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277,619</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356,428</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shd w:val="clear" w:color="auto" w:fill="CCEEFF"/>
          </w:tcPr>
          <w:p>
            <w:pPr>
              <w:ind w:left="400"/>
              <w:spacing w:after="0" w:line="148" w:lineRule="exact"/>
              <w:rPr>
                <w:sz w:val="20"/>
                <w:szCs w:val="20"/>
                <w:color w:val="auto"/>
              </w:rPr>
            </w:pPr>
            <w:r>
              <w:rPr>
                <w:rFonts w:ascii="Arial" w:cs="Arial" w:eastAsia="Arial" w:hAnsi="Arial"/>
                <w:sz w:val="13"/>
                <w:szCs w:val="13"/>
                <w:color w:val="auto"/>
              </w:rPr>
              <w:t>Total liabilities and stockholders’ equity</w:t>
            </w: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618,503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643,070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See accompanying notes to unaudited consolidated financial statements.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AnaptysBio,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00" w:type="dxa"/>
            <w:vAlign w:val="bottom"/>
            <w:gridSpan w:val="3"/>
          </w:tcPr>
          <w:p>
            <w:pPr>
              <w:jc w:val="right"/>
              <w:spacing w:after="0"/>
              <w:rPr>
                <w:sz w:val="20"/>
                <w:szCs w:val="20"/>
                <w:color w:val="auto"/>
              </w:rPr>
            </w:pPr>
            <w:r>
              <w:rPr>
                <w:rFonts w:ascii="Arial" w:cs="Arial" w:eastAsia="Arial" w:hAnsi="Arial"/>
                <w:sz w:val="11"/>
                <w:szCs w:val="11"/>
                <w:b w:val="1"/>
                <w:bCs w:val="1"/>
                <w:color w:val="auto"/>
                <w:w w:val="95"/>
              </w:rPr>
              <w:t>Three Months Ended</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80" w:type="dxa"/>
            <w:vAlign w:val="bottom"/>
            <w:gridSpan w:val="3"/>
          </w:tcPr>
          <w:p>
            <w:pPr>
              <w:jc w:val="right"/>
              <w:spacing w:after="0"/>
              <w:rPr>
                <w:sz w:val="20"/>
                <w:szCs w:val="20"/>
                <w:color w:val="auto"/>
              </w:rPr>
            </w:pPr>
            <w:r>
              <w:rPr>
                <w:rFonts w:ascii="Arial" w:cs="Arial" w:eastAsia="Arial" w:hAnsi="Arial"/>
                <w:sz w:val="11"/>
                <w:szCs w:val="11"/>
                <w:b w:val="1"/>
                <w:bCs w:val="1"/>
                <w:color w:val="auto"/>
              </w:rPr>
              <w:t>Nine Months Ended</w:t>
            </w:r>
          </w:p>
        </w:tc>
        <w:tc>
          <w:tcPr>
            <w:tcW w:w="820" w:type="dxa"/>
            <w:vAlign w:val="bottom"/>
          </w:tcPr>
          <w:p>
            <w:pPr>
              <w:spacing w:after="0"/>
              <w:rPr>
                <w:sz w:val="10"/>
                <w:szCs w:val="10"/>
                <w:color w:val="auto"/>
              </w:rPr>
            </w:pPr>
          </w:p>
        </w:tc>
      </w:tr>
      <w:tr>
        <w:trPr>
          <w:trHeight w:val="153"/>
        </w:trPr>
        <w:tc>
          <w:tcPr>
            <w:tcW w:w="578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1"/>
                <w:szCs w:val="11"/>
                <w:b w:val="1"/>
                <w:bCs w:val="1"/>
                <w:color w:val="auto"/>
              </w:rPr>
              <w:t>September 30,</w:t>
            </w: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1"/>
                <w:szCs w:val="11"/>
                <w:b w:val="1"/>
                <w:bCs w:val="1"/>
                <w:color w:val="auto"/>
              </w:rPr>
              <w:t>September 30,</w:t>
            </w:r>
          </w:p>
        </w:tc>
        <w:tc>
          <w:tcPr>
            <w:tcW w:w="820" w:type="dxa"/>
            <w:vAlign w:val="bottom"/>
            <w:tcBorders>
              <w:bottom w:val="single" w:sz="8" w:color="auto"/>
            </w:tcBorders>
          </w:tcPr>
          <w:p>
            <w:pPr>
              <w:spacing w:after="0"/>
              <w:rPr>
                <w:sz w:val="13"/>
                <w:szCs w:val="13"/>
                <w:color w:val="auto"/>
              </w:rPr>
            </w:pPr>
          </w:p>
        </w:tc>
      </w:tr>
      <w:tr>
        <w:trPr>
          <w:trHeight w:val="150"/>
        </w:trPr>
        <w:tc>
          <w:tcPr>
            <w:tcW w:w="578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77"/>
              <w:spacing w:after="0"/>
              <w:rPr>
                <w:sz w:val="20"/>
                <w:szCs w:val="20"/>
                <w:color w:val="auto"/>
              </w:rPr>
            </w:pPr>
            <w:r>
              <w:rPr>
                <w:rFonts w:ascii="Arial" w:cs="Arial" w:eastAsia="Arial" w:hAnsi="Arial"/>
                <w:sz w:val="11"/>
                <w:szCs w:val="11"/>
                <w:b w:val="1"/>
                <w:bCs w:val="1"/>
                <w:color w:val="auto"/>
                <w:w w:val="97"/>
              </w:rPr>
              <w:t>2021</w:t>
            </w: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8"/>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77"/>
              <w:spacing w:after="0"/>
              <w:rPr>
                <w:sz w:val="20"/>
                <w:szCs w:val="20"/>
                <w:color w:val="auto"/>
              </w:rPr>
            </w:pPr>
            <w:r>
              <w:rPr>
                <w:rFonts w:ascii="Arial" w:cs="Arial" w:eastAsia="Arial" w:hAnsi="Arial"/>
                <w:sz w:val="11"/>
                <w:szCs w:val="11"/>
                <w:b w:val="1"/>
                <w:bCs w:val="1"/>
                <w:color w:val="auto"/>
              </w:rPr>
              <w:t>2021</w:t>
            </w:r>
          </w:p>
        </w:tc>
      </w:tr>
      <w:tr>
        <w:trPr>
          <w:trHeight w:val="167"/>
        </w:trPr>
        <w:tc>
          <w:tcPr>
            <w:tcW w:w="578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Collaboration revenue</w:t>
            </w:r>
          </w:p>
        </w:tc>
        <w:tc>
          <w:tcPr>
            <w:tcW w:w="800" w:type="dxa"/>
            <w:vAlign w:val="bottom"/>
            <w:tcBorders>
              <w:bottom w:val="single" w:sz="8" w:color="auto"/>
            </w:tcBorders>
            <w:shd w:val="clear" w:color="auto" w:fill="CFF0FC"/>
          </w:tcPr>
          <w:p>
            <w:pPr>
              <w:jc w:val="right"/>
              <w:ind w:right="658"/>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1,293</w:t>
            </w:r>
          </w:p>
        </w:tc>
        <w:tc>
          <w:tcPr>
            <w:tcW w:w="100" w:type="dxa"/>
            <w:vAlign w:val="bottom"/>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ind w:right="356"/>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20,890</w:t>
            </w:r>
          </w:p>
        </w:tc>
        <w:tc>
          <w:tcPr>
            <w:tcW w:w="10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3,479</w:t>
            </w:r>
          </w:p>
        </w:tc>
        <w:tc>
          <w:tcPr>
            <w:tcW w:w="100" w:type="dxa"/>
            <w:vAlign w:val="bottom"/>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ind w:right="33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62,164</w:t>
            </w:r>
          </w:p>
        </w:tc>
      </w:tr>
      <w:tr>
        <w:trPr>
          <w:trHeight w:val="148"/>
        </w:trPr>
        <w:tc>
          <w:tcPr>
            <w:tcW w:w="5780" w:type="dxa"/>
            <w:vAlign w:val="bottom"/>
          </w:tcPr>
          <w:p>
            <w:pPr>
              <w:ind w:left="20"/>
              <w:spacing w:after="0" w:line="146" w:lineRule="exact"/>
              <w:rPr>
                <w:sz w:val="20"/>
                <w:szCs w:val="20"/>
                <w:color w:val="auto"/>
              </w:rPr>
            </w:pPr>
            <w:r>
              <w:rPr>
                <w:rFonts w:ascii="Arial" w:cs="Arial" w:eastAsia="Arial" w:hAnsi="Arial"/>
                <w:sz w:val="13"/>
                <w:szCs w:val="13"/>
                <w:color w:val="auto"/>
              </w:rPr>
              <w:t>Operating expenses:</w:t>
            </w: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72"/>
        </w:trPr>
        <w:tc>
          <w:tcPr>
            <w:tcW w:w="5780" w:type="dxa"/>
            <w:vAlign w:val="bottom"/>
            <w:shd w:val="clear" w:color="auto" w:fill="CFF0FC"/>
          </w:tcPr>
          <w:p>
            <w:pPr>
              <w:ind w:left="220"/>
              <w:spacing w:after="0"/>
              <w:rPr>
                <w:sz w:val="20"/>
                <w:szCs w:val="20"/>
                <w:color w:val="auto"/>
              </w:rPr>
            </w:pPr>
            <w:r>
              <w:rPr>
                <w:rFonts w:ascii="Arial" w:cs="Arial" w:eastAsia="Arial" w:hAnsi="Arial"/>
                <w:sz w:val="13"/>
                <w:szCs w:val="13"/>
                <w:color w:val="auto"/>
              </w:rPr>
              <w:t>Research and development</w:t>
            </w:r>
          </w:p>
        </w:tc>
        <w:tc>
          <w:tcPr>
            <w:tcW w:w="8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22,064</w:t>
            </w: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22,221</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65,424</w:t>
            </w: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71,720</w:t>
            </w:r>
          </w:p>
        </w:tc>
      </w:tr>
      <w:tr>
        <w:trPr>
          <w:trHeight w:val="168"/>
        </w:trPr>
        <w:tc>
          <w:tcPr>
            <w:tcW w:w="5780" w:type="dxa"/>
            <w:vAlign w:val="bottom"/>
            <w:tcBorders>
              <w:bottom w:val="single" w:sz="8" w:color="CFF0FC"/>
            </w:tcBorders>
          </w:tcPr>
          <w:p>
            <w:pPr>
              <w:ind w:left="220"/>
              <w:spacing w:after="0"/>
              <w:rPr>
                <w:sz w:val="20"/>
                <w:szCs w:val="20"/>
                <w:color w:val="auto"/>
              </w:rPr>
            </w:pPr>
            <w:r>
              <w:rPr>
                <w:rFonts w:ascii="Arial" w:cs="Arial" w:eastAsia="Arial" w:hAnsi="Arial"/>
                <w:sz w:val="13"/>
                <w:szCs w:val="13"/>
                <w:color w:val="auto"/>
              </w:rPr>
              <w:t>General and administrative</w:t>
            </w:r>
          </w:p>
        </w:tc>
        <w:tc>
          <w:tcPr>
            <w:tcW w:w="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8,862</w:t>
            </w:r>
          </w:p>
        </w:tc>
        <w:tc>
          <w:tcPr>
            <w:tcW w:w="100" w:type="dxa"/>
            <w:vAlign w:val="bottom"/>
            <w:tcBorders>
              <w:bottom w:val="single" w:sz="8" w:color="CFF0FC"/>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5,432</w:t>
            </w: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27,236</w:t>
            </w:r>
          </w:p>
        </w:tc>
        <w:tc>
          <w:tcPr>
            <w:tcW w:w="100" w:type="dxa"/>
            <w:vAlign w:val="bottom"/>
            <w:tcBorders>
              <w:bottom w:val="single" w:sz="8" w:color="CFF0FC"/>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16,101</w:t>
            </w:r>
          </w:p>
        </w:tc>
      </w:tr>
      <w:tr>
        <w:trPr>
          <w:trHeight w:val="163"/>
        </w:trPr>
        <w:tc>
          <w:tcPr>
            <w:tcW w:w="5780" w:type="dxa"/>
            <w:vAlign w:val="bottom"/>
            <w:shd w:val="clear" w:color="auto" w:fill="CFF0FC"/>
          </w:tcPr>
          <w:p>
            <w:pPr>
              <w:ind w:left="400"/>
              <w:spacing w:after="0" w:line="148" w:lineRule="exact"/>
              <w:rPr>
                <w:sz w:val="20"/>
                <w:szCs w:val="20"/>
                <w:color w:val="auto"/>
              </w:rPr>
            </w:pPr>
            <w:r>
              <w:rPr>
                <w:rFonts w:ascii="Arial" w:cs="Arial" w:eastAsia="Arial" w:hAnsi="Arial"/>
                <w:sz w:val="13"/>
                <w:szCs w:val="13"/>
                <w:color w:val="auto"/>
              </w:rPr>
              <w:t>Total operating expenses</w:t>
            </w:r>
          </w:p>
        </w:tc>
        <w:tc>
          <w:tcPr>
            <w:tcW w:w="80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30,926</w:t>
            </w:r>
          </w:p>
        </w:tc>
        <w:tc>
          <w:tcPr>
            <w:tcW w:w="100" w:type="dxa"/>
            <w:vAlign w:val="bottom"/>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27,653</w:t>
            </w:r>
          </w:p>
        </w:tc>
        <w:tc>
          <w:tcPr>
            <w:tcW w:w="10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92,660</w:t>
            </w:r>
          </w:p>
        </w:tc>
        <w:tc>
          <w:tcPr>
            <w:tcW w:w="100" w:type="dxa"/>
            <w:vAlign w:val="bottom"/>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87,821</w:t>
            </w:r>
          </w:p>
        </w:tc>
      </w:tr>
      <w:tr>
        <w:trPr>
          <w:trHeight w:val="158"/>
        </w:trPr>
        <w:tc>
          <w:tcPr>
            <w:tcW w:w="5780" w:type="dxa"/>
            <w:vAlign w:val="bottom"/>
            <w:tcBorders>
              <w:bottom w:val="single" w:sz="8" w:color="CFF0FC"/>
            </w:tcBorders>
          </w:tcPr>
          <w:p>
            <w:pPr>
              <w:ind w:left="600"/>
              <w:spacing w:after="0" w:line="146" w:lineRule="exact"/>
              <w:rPr>
                <w:sz w:val="20"/>
                <w:szCs w:val="20"/>
                <w:color w:val="auto"/>
              </w:rPr>
            </w:pPr>
            <w:r>
              <w:rPr>
                <w:rFonts w:ascii="Arial" w:cs="Arial" w:eastAsia="Arial" w:hAnsi="Arial"/>
                <w:sz w:val="13"/>
                <w:szCs w:val="13"/>
                <w:color w:val="auto"/>
              </w:rPr>
              <w:t>Loss from operations</w:t>
            </w:r>
          </w:p>
        </w:tc>
        <w:tc>
          <w:tcPr>
            <w:tcW w:w="8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4"/>
              </w:rPr>
              <w:t>(29,633)</w:t>
            </w:r>
          </w:p>
        </w:tc>
        <w:tc>
          <w:tcPr>
            <w:tcW w:w="10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(6,763)</w:t>
            </w: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(89,181)</w:t>
            </w:r>
          </w:p>
        </w:tc>
        <w:tc>
          <w:tcPr>
            <w:tcW w:w="10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(25,657)</w:t>
            </w:r>
          </w:p>
        </w:tc>
      </w:tr>
      <w:tr>
        <w:trPr>
          <w:trHeight w:val="152"/>
        </w:trPr>
        <w:tc>
          <w:tcPr>
            <w:tcW w:w="5780" w:type="dxa"/>
            <w:vAlign w:val="bottom"/>
            <w:shd w:val="clear" w:color="auto" w:fill="CFF0FC"/>
          </w:tcPr>
          <w:p>
            <w:pPr>
              <w:ind w:left="20"/>
              <w:spacing w:after="0" w:line="148" w:lineRule="exact"/>
              <w:rPr>
                <w:sz w:val="20"/>
                <w:szCs w:val="20"/>
                <w:color w:val="auto"/>
              </w:rPr>
            </w:pPr>
            <w:r>
              <w:rPr>
                <w:rFonts w:ascii="Arial" w:cs="Arial" w:eastAsia="Arial" w:hAnsi="Arial"/>
                <w:sz w:val="13"/>
                <w:szCs w:val="13"/>
                <w:color w:val="auto"/>
              </w:rPr>
              <w:t>Other income (expense), net:</w:t>
            </w:r>
          </w:p>
        </w:tc>
        <w:tc>
          <w:tcPr>
            <w:tcW w:w="8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r>
      <w:tr>
        <w:trPr>
          <w:trHeight w:val="168"/>
        </w:trPr>
        <w:tc>
          <w:tcPr>
            <w:tcW w:w="5780" w:type="dxa"/>
            <w:vAlign w:val="bottom"/>
          </w:tcPr>
          <w:p>
            <w:pPr>
              <w:ind w:left="180"/>
              <w:spacing w:after="0"/>
              <w:rPr>
                <w:sz w:val="20"/>
                <w:szCs w:val="20"/>
                <w:color w:val="auto"/>
              </w:rPr>
            </w:pPr>
            <w:r>
              <w:rPr>
                <w:rFonts w:ascii="Arial" w:cs="Arial" w:eastAsia="Arial" w:hAnsi="Arial"/>
                <w:sz w:val="13"/>
                <w:szCs w:val="13"/>
                <w:color w:val="auto"/>
              </w:rPr>
              <w:t>Interest income</w:t>
            </w:r>
          </w:p>
        </w:tc>
        <w:tc>
          <w:tcPr>
            <w:tcW w:w="8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2,262</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3,711</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363</w:t>
            </w:r>
          </w:p>
        </w:tc>
      </w:tr>
      <w:tr>
        <w:trPr>
          <w:trHeight w:val="172"/>
        </w:trPr>
        <w:tc>
          <w:tcPr>
            <w:tcW w:w="5780" w:type="dxa"/>
            <w:vAlign w:val="bottom"/>
            <w:shd w:val="clear" w:color="auto" w:fill="CFF0FC"/>
          </w:tcPr>
          <w:p>
            <w:pPr>
              <w:ind w:left="220"/>
              <w:spacing w:after="0"/>
              <w:rPr>
                <w:sz w:val="20"/>
                <w:szCs w:val="20"/>
                <w:color w:val="auto"/>
              </w:rPr>
            </w:pPr>
            <w:r>
              <w:rPr>
                <w:rFonts w:ascii="Arial" w:cs="Arial" w:eastAsia="Arial" w:hAnsi="Arial"/>
                <w:sz w:val="13"/>
                <w:szCs w:val="13"/>
                <w:color w:val="auto"/>
              </w:rPr>
              <w:t>Non-cash interest expense for the sale of future royalties</w:t>
            </w:r>
          </w:p>
        </w:tc>
        <w:tc>
          <w:tcPr>
            <w:tcW w:w="8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(6,135)</w:t>
            </w: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(16,857)</w:t>
            </w: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5780" w:type="dxa"/>
            <w:vAlign w:val="bottom"/>
            <w:tcBorders>
              <w:bottom w:val="single" w:sz="8" w:color="CFF0FC"/>
            </w:tcBorders>
          </w:tcPr>
          <w:p>
            <w:pPr>
              <w:ind w:left="180"/>
              <w:spacing w:after="0"/>
              <w:rPr>
                <w:sz w:val="20"/>
                <w:szCs w:val="20"/>
                <w:color w:val="auto"/>
              </w:rPr>
            </w:pPr>
            <w:r>
              <w:rPr>
                <w:rFonts w:ascii="Arial" w:cs="Arial" w:eastAsia="Arial" w:hAnsi="Arial"/>
                <w:sz w:val="13"/>
                <w:szCs w:val="13"/>
                <w:color w:val="auto"/>
              </w:rPr>
              <w:t>Other income, net</w:t>
            </w:r>
          </w:p>
        </w:tc>
        <w:tc>
          <w:tcPr>
            <w:tcW w:w="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FF0FC"/>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w:t>
            </w:r>
          </w:p>
        </w:tc>
        <w:tc>
          <w:tcPr>
            <w:tcW w:w="1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100" w:type="dxa"/>
            <w:vAlign w:val="bottom"/>
            <w:tcBorders>
              <w:bottom w:val="single" w:sz="8" w:color="CFF0FC"/>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w:t>
            </w:r>
          </w:p>
        </w:tc>
      </w:tr>
      <w:tr>
        <w:trPr>
          <w:trHeight w:val="163"/>
        </w:trPr>
        <w:tc>
          <w:tcPr>
            <w:tcW w:w="5780" w:type="dxa"/>
            <w:vAlign w:val="bottom"/>
            <w:shd w:val="clear" w:color="auto" w:fill="CFF0FC"/>
          </w:tcPr>
          <w:p>
            <w:pPr>
              <w:ind w:left="400"/>
              <w:spacing w:after="0" w:line="148" w:lineRule="exact"/>
              <w:rPr>
                <w:sz w:val="20"/>
                <w:szCs w:val="20"/>
                <w:color w:val="auto"/>
              </w:rPr>
            </w:pPr>
            <w:r>
              <w:rPr>
                <w:rFonts w:ascii="Arial" w:cs="Arial" w:eastAsia="Arial" w:hAnsi="Arial"/>
                <w:sz w:val="13"/>
                <w:szCs w:val="13"/>
                <w:color w:val="auto"/>
              </w:rPr>
              <w:t>Total other income (expense), net</w:t>
            </w:r>
          </w:p>
        </w:tc>
        <w:tc>
          <w:tcPr>
            <w:tcW w:w="80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(3,869)</w:t>
            </w:r>
          </w:p>
        </w:tc>
        <w:tc>
          <w:tcPr>
            <w:tcW w:w="100" w:type="dxa"/>
            <w:vAlign w:val="bottom"/>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97</w:t>
            </w:r>
          </w:p>
        </w:tc>
        <w:tc>
          <w:tcPr>
            <w:tcW w:w="10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(13,130)</w:t>
            </w:r>
          </w:p>
        </w:tc>
        <w:tc>
          <w:tcPr>
            <w:tcW w:w="100" w:type="dxa"/>
            <w:vAlign w:val="bottom"/>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399</w:t>
            </w:r>
          </w:p>
        </w:tc>
      </w:tr>
      <w:tr>
        <w:trPr>
          <w:trHeight w:val="158"/>
        </w:trPr>
        <w:tc>
          <w:tcPr>
            <w:tcW w:w="5780" w:type="dxa"/>
            <w:vAlign w:val="bottom"/>
            <w:tcBorders>
              <w:bottom w:val="single" w:sz="8" w:color="CFF0FC"/>
            </w:tcBorders>
          </w:tcPr>
          <w:p>
            <w:pPr>
              <w:ind w:left="560"/>
              <w:spacing w:after="0" w:line="146" w:lineRule="exact"/>
              <w:rPr>
                <w:sz w:val="20"/>
                <w:szCs w:val="20"/>
                <w:color w:val="auto"/>
              </w:rPr>
            </w:pPr>
            <w:r>
              <w:rPr>
                <w:rFonts w:ascii="Arial" w:cs="Arial" w:eastAsia="Arial" w:hAnsi="Arial"/>
                <w:sz w:val="13"/>
                <w:szCs w:val="13"/>
                <w:color w:val="auto"/>
              </w:rPr>
              <w:t>Net loss</w:t>
            </w:r>
          </w:p>
        </w:tc>
        <w:tc>
          <w:tcPr>
            <w:tcW w:w="8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4"/>
              </w:rPr>
              <w:t>(33,502)</w:t>
            </w:r>
          </w:p>
        </w:tc>
        <w:tc>
          <w:tcPr>
            <w:tcW w:w="10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(6,666)</w:t>
            </w: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(102,311)</w:t>
            </w:r>
          </w:p>
        </w:tc>
        <w:tc>
          <w:tcPr>
            <w:tcW w:w="10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(25,258)</w:t>
            </w:r>
          </w:p>
        </w:tc>
      </w:tr>
      <w:tr>
        <w:trPr>
          <w:trHeight w:val="163"/>
        </w:trPr>
        <w:tc>
          <w:tcPr>
            <w:tcW w:w="5780" w:type="dxa"/>
            <w:vAlign w:val="bottom"/>
            <w:shd w:val="clear" w:color="auto" w:fill="CFF0FC"/>
          </w:tcPr>
          <w:p>
            <w:pPr>
              <w:ind w:left="400"/>
              <w:spacing w:after="0" w:line="148" w:lineRule="exact"/>
              <w:rPr>
                <w:sz w:val="20"/>
                <w:szCs w:val="20"/>
                <w:color w:val="auto"/>
              </w:rPr>
            </w:pPr>
            <w:r>
              <w:rPr>
                <w:rFonts w:ascii="Arial" w:cs="Arial" w:eastAsia="Arial" w:hAnsi="Arial"/>
                <w:sz w:val="13"/>
                <w:szCs w:val="13"/>
                <w:color w:val="auto"/>
              </w:rPr>
              <w:t>Unrealized loss on available for sale securities</w:t>
            </w:r>
          </w:p>
        </w:tc>
        <w:tc>
          <w:tcPr>
            <w:tcW w:w="80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(2,146)</w:t>
            </w:r>
          </w:p>
        </w:tc>
        <w:tc>
          <w:tcPr>
            <w:tcW w:w="100" w:type="dxa"/>
            <w:vAlign w:val="bottom"/>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(5,585)</w:t>
            </w:r>
          </w:p>
        </w:tc>
        <w:tc>
          <w:tcPr>
            <w:tcW w:w="100" w:type="dxa"/>
            <w:vAlign w:val="bottom"/>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(196)</w:t>
            </w:r>
          </w:p>
        </w:tc>
      </w:tr>
      <w:tr>
        <w:trPr>
          <w:trHeight w:val="158"/>
        </w:trPr>
        <w:tc>
          <w:tcPr>
            <w:tcW w:w="5780" w:type="dxa"/>
            <w:vAlign w:val="bottom"/>
          </w:tcPr>
          <w:p>
            <w:pPr>
              <w:ind w:left="600"/>
              <w:spacing w:after="0" w:line="146" w:lineRule="exact"/>
              <w:rPr>
                <w:sz w:val="20"/>
                <w:szCs w:val="20"/>
                <w:color w:val="auto"/>
              </w:rPr>
            </w:pPr>
            <w:r>
              <w:rPr>
                <w:rFonts w:ascii="Arial" w:cs="Arial" w:eastAsia="Arial" w:hAnsi="Arial"/>
                <w:sz w:val="13"/>
                <w:szCs w:val="13"/>
                <w:color w:val="auto"/>
              </w:rPr>
              <w:t>Comprehensive loss</w:t>
            </w:r>
          </w:p>
        </w:tc>
        <w:tc>
          <w:tcPr>
            <w:tcW w:w="800" w:type="dxa"/>
            <w:vAlign w:val="bottom"/>
            <w:tcBorders>
              <w:bottom w:val="single" w:sz="8" w:color="auto"/>
            </w:tcBorders>
          </w:tcPr>
          <w:p>
            <w:pPr>
              <w:jc w:val="right"/>
              <w:ind w:right="658"/>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4"/>
              </w:rPr>
              <w:t>(35,648)</w:t>
            </w:r>
          </w:p>
        </w:tc>
        <w:tc>
          <w:tcPr>
            <w:tcW w:w="100" w:type="dxa"/>
            <w:vAlign w:val="bottom"/>
          </w:tcPr>
          <w:p>
            <w:pPr>
              <w:spacing w:after="0"/>
              <w:rPr>
                <w:sz w:val="13"/>
                <w:szCs w:val="13"/>
                <w:color w:val="auto"/>
              </w:rPr>
            </w:pPr>
          </w:p>
        </w:tc>
        <w:tc>
          <w:tcPr>
            <w:tcW w:w="50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(6,690)</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(107,896)</w:t>
            </w:r>
          </w:p>
        </w:tc>
        <w:tc>
          <w:tcPr>
            <w:tcW w:w="100" w:type="dxa"/>
            <w:vAlign w:val="bottom"/>
          </w:tcPr>
          <w:p>
            <w:pPr>
              <w:spacing w:after="0"/>
              <w:rPr>
                <w:sz w:val="13"/>
                <w:szCs w:val="13"/>
                <w:color w:val="auto"/>
              </w:rPr>
            </w:pPr>
          </w:p>
        </w:tc>
        <w:tc>
          <w:tcPr>
            <w:tcW w:w="4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(25,454)</w:t>
            </w:r>
          </w:p>
        </w:tc>
      </w:tr>
      <w:tr>
        <w:trPr>
          <w:trHeight w:val="20"/>
        </w:trPr>
        <w:tc>
          <w:tcPr>
            <w:tcW w:w="5780" w:type="dxa"/>
            <w:vAlign w:val="bottom"/>
            <w:tcBorders>
              <w:bottom w:val="single" w:sz="8" w:color="CFF0FC"/>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33"/>
        </w:trPr>
        <w:tc>
          <w:tcPr>
            <w:tcW w:w="5780" w:type="dxa"/>
            <w:vAlign w:val="bottom"/>
            <w:shd w:val="clear" w:color="auto" w:fill="CFF0FC"/>
          </w:tcPr>
          <w:p>
            <w:pPr>
              <w:ind w:left="220"/>
              <w:spacing w:after="0" w:line="133" w:lineRule="exact"/>
              <w:rPr>
                <w:sz w:val="20"/>
                <w:szCs w:val="20"/>
                <w:color w:val="auto"/>
              </w:rPr>
            </w:pPr>
            <w:r>
              <w:rPr>
                <w:rFonts w:ascii="Arial" w:cs="Arial" w:eastAsia="Arial" w:hAnsi="Arial"/>
                <w:sz w:val="13"/>
                <w:szCs w:val="13"/>
                <w:color w:val="auto"/>
              </w:rPr>
              <w:t>Net loss per common share:</w:t>
            </w:r>
          </w:p>
        </w:tc>
        <w:tc>
          <w:tcPr>
            <w:tcW w:w="8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r>
      <w:tr>
        <w:trPr>
          <w:trHeight w:val="149"/>
        </w:trPr>
        <w:tc>
          <w:tcPr>
            <w:tcW w:w="5780" w:type="dxa"/>
            <w:vAlign w:val="bottom"/>
          </w:tcPr>
          <w:p>
            <w:pPr>
              <w:ind w:left="600"/>
              <w:spacing w:after="0"/>
              <w:rPr>
                <w:sz w:val="20"/>
                <w:szCs w:val="20"/>
                <w:color w:val="auto"/>
              </w:rPr>
            </w:pPr>
            <w:r>
              <w:rPr>
                <w:rFonts w:ascii="Arial" w:cs="Arial" w:eastAsia="Arial" w:hAnsi="Arial"/>
                <w:sz w:val="13"/>
                <w:szCs w:val="13"/>
                <w:color w:val="auto"/>
              </w:rPr>
              <w:t>Basic and diluted</w:t>
            </w:r>
          </w:p>
        </w:tc>
        <w:tc>
          <w:tcPr>
            <w:tcW w:w="800" w:type="dxa"/>
            <w:vAlign w:val="bottom"/>
            <w:tcBorders>
              <w:bottom w:val="single" w:sz="8" w:color="auto"/>
            </w:tcBorders>
          </w:tcPr>
          <w:p>
            <w:pPr>
              <w:jc w:val="right"/>
              <w:ind w:right="658"/>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w:t>
            </w:r>
          </w:p>
        </w:tc>
        <w:tc>
          <w:tcPr>
            <w:tcW w:w="100" w:type="dxa"/>
            <w:vAlign w:val="bottom"/>
          </w:tcPr>
          <w:p>
            <w:pPr>
              <w:spacing w:after="0"/>
              <w:rPr>
                <w:sz w:val="12"/>
                <w:szCs w:val="12"/>
                <w:color w:val="auto"/>
              </w:rPr>
            </w:pPr>
          </w:p>
        </w:tc>
        <w:tc>
          <w:tcPr>
            <w:tcW w:w="50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(0.24)</w:t>
            </w:r>
          </w:p>
        </w:tc>
        <w:tc>
          <w:tcPr>
            <w:tcW w:w="100" w:type="dxa"/>
            <w:vAlign w:val="bottom"/>
          </w:tcPr>
          <w:p>
            <w:pPr>
              <w:spacing w:after="0"/>
              <w:rPr>
                <w:sz w:val="12"/>
                <w:szCs w:val="12"/>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(3.64)</w:t>
            </w:r>
          </w:p>
        </w:tc>
        <w:tc>
          <w:tcPr>
            <w:tcW w:w="100" w:type="dxa"/>
            <w:vAlign w:val="bottom"/>
          </w:tcPr>
          <w:p>
            <w:pPr>
              <w:spacing w:after="0"/>
              <w:rPr>
                <w:sz w:val="12"/>
                <w:szCs w:val="12"/>
                <w:color w:val="auto"/>
              </w:rPr>
            </w:pPr>
          </w:p>
        </w:tc>
        <w:tc>
          <w:tcPr>
            <w:tcW w:w="48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(0.92)</w:t>
            </w:r>
          </w:p>
        </w:tc>
      </w:tr>
      <w:tr>
        <w:trPr>
          <w:trHeight w:val="20"/>
        </w:trPr>
        <w:tc>
          <w:tcPr>
            <w:tcW w:w="5780" w:type="dxa"/>
            <w:vAlign w:val="bottom"/>
            <w:tcBorders>
              <w:bottom w:val="single" w:sz="8" w:color="CFF0FC"/>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31"/>
        </w:trPr>
        <w:tc>
          <w:tcPr>
            <w:tcW w:w="5780" w:type="dxa"/>
            <w:vAlign w:val="bottom"/>
            <w:shd w:val="clear" w:color="auto" w:fill="CFF0FC"/>
          </w:tcPr>
          <w:p>
            <w:pPr>
              <w:ind w:left="220"/>
              <w:spacing w:after="0" w:line="131" w:lineRule="exact"/>
              <w:rPr>
                <w:sz w:val="20"/>
                <w:szCs w:val="20"/>
                <w:color w:val="auto"/>
              </w:rPr>
            </w:pPr>
            <w:r>
              <w:rPr>
                <w:rFonts w:ascii="Arial" w:cs="Arial" w:eastAsia="Arial" w:hAnsi="Arial"/>
                <w:sz w:val="13"/>
                <w:szCs w:val="13"/>
                <w:color w:val="auto"/>
              </w:rPr>
              <w:t>Weighted-average number of shares outstanding:</w:t>
            </w:r>
          </w:p>
        </w:tc>
        <w:tc>
          <w:tcPr>
            <w:tcW w:w="8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r>
      <w:tr>
        <w:trPr>
          <w:trHeight w:val="168"/>
        </w:trPr>
        <w:tc>
          <w:tcPr>
            <w:tcW w:w="5780" w:type="dxa"/>
            <w:vAlign w:val="bottom"/>
          </w:tcPr>
          <w:p>
            <w:pPr>
              <w:ind w:left="600"/>
              <w:spacing w:after="0"/>
              <w:rPr>
                <w:sz w:val="20"/>
                <w:szCs w:val="20"/>
                <w:color w:val="auto"/>
              </w:rPr>
            </w:pPr>
            <w:r>
              <w:rPr>
                <w:rFonts w:ascii="Arial" w:cs="Arial" w:eastAsia="Arial" w:hAnsi="Arial"/>
                <w:sz w:val="13"/>
                <w:szCs w:val="13"/>
                <w:color w:val="auto"/>
              </w:rPr>
              <w:t>Basic and diluted</w:t>
            </w:r>
          </w:p>
        </w:tc>
        <w:tc>
          <w:tcPr>
            <w:tcW w:w="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28,289</w:t>
            </w:r>
          </w:p>
        </w:tc>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27,436</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28,071</w:t>
            </w:r>
          </w:p>
        </w:tc>
        <w:tc>
          <w:tcPr>
            <w:tcW w:w="1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27,397</w:t>
            </w:r>
          </w:p>
        </w:tc>
      </w:tr>
      <w:tr>
        <w:trPr>
          <w:trHeight w:val="20"/>
        </w:trPr>
        <w:tc>
          <w:tcPr>
            <w:tcW w:w="5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AnaptysBio,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 of Stockholders’ 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4280" w:type="dxa"/>
            <w:vAlign w:val="bottom"/>
          </w:tcPr>
          <w:p>
            <w:pPr>
              <w:spacing w:after="0"/>
              <w:rPr>
                <w:sz w:val="10"/>
                <w:szCs w:val="1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8"/>
                <w:szCs w:val="8"/>
                <w:b w:val="1"/>
                <w:bCs w:val="1"/>
                <w:color w:val="auto"/>
              </w:rPr>
              <w:t>Common Stock</w:t>
            </w: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8"/>
                <w:szCs w:val="8"/>
                <w:b w:val="1"/>
                <w:bCs w:val="1"/>
                <w:color w:val="auto"/>
                <w:w w:val="97"/>
              </w:rPr>
              <w:t>Additional</w:t>
            </w: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jc w:val="center"/>
              <w:ind w:right="152"/>
              <w:spacing w:after="0"/>
              <w:rPr>
                <w:sz w:val="20"/>
                <w:szCs w:val="20"/>
                <w:color w:val="auto"/>
              </w:rPr>
            </w:pPr>
            <w:r>
              <w:rPr>
                <w:rFonts w:ascii="Arial" w:cs="Arial" w:eastAsia="Arial" w:hAnsi="Arial"/>
                <w:sz w:val="8"/>
                <w:szCs w:val="8"/>
                <w:b w:val="1"/>
                <w:bCs w:val="1"/>
                <w:color w:val="auto"/>
                <w:w w:val="93"/>
              </w:rPr>
              <w:t>Total</w:t>
            </w:r>
          </w:p>
        </w:tc>
        <w:tc>
          <w:tcPr>
            <w:tcW w:w="0" w:type="dxa"/>
            <w:vAlign w:val="bottom"/>
          </w:tcPr>
          <w:p>
            <w:pPr>
              <w:spacing w:after="0"/>
              <w:rPr>
                <w:sz w:val="1"/>
                <w:szCs w:val="1"/>
                <w:color w:val="auto"/>
              </w:rPr>
            </w:pPr>
          </w:p>
        </w:tc>
      </w:tr>
      <w:tr>
        <w:trPr>
          <w:trHeight w:val="65"/>
        </w:trPr>
        <w:tc>
          <w:tcPr>
            <w:tcW w:w="4280" w:type="dxa"/>
            <w:vAlign w:val="bottom"/>
          </w:tcPr>
          <w:p>
            <w:pPr>
              <w:spacing w:after="0"/>
              <w:rPr>
                <w:sz w:val="5"/>
                <w:szCs w:val="5"/>
                <w:color w:val="auto"/>
              </w:rPr>
            </w:pPr>
          </w:p>
        </w:tc>
        <w:tc>
          <w:tcPr>
            <w:tcW w:w="900" w:type="dxa"/>
            <w:vAlign w:val="bottom"/>
            <w:gridSpan w:val="2"/>
            <w:vMerge w:val="restart"/>
          </w:tcPr>
          <w:p>
            <w:pPr>
              <w:ind w:left="280"/>
              <w:spacing w:after="0"/>
              <w:rPr>
                <w:sz w:val="20"/>
                <w:szCs w:val="20"/>
                <w:color w:val="auto"/>
              </w:rPr>
            </w:pPr>
            <w:r>
              <w:rPr>
                <w:rFonts w:ascii="Arial" w:cs="Arial" w:eastAsia="Arial" w:hAnsi="Arial"/>
                <w:sz w:val="8"/>
                <w:szCs w:val="8"/>
                <w:b w:val="1"/>
                <w:bCs w:val="1"/>
                <w:color w:val="auto"/>
              </w:rPr>
              <w:t>Shares</w:t>
            </w:r>
          </w:p>
        </w:tc>
        <w:tc>
          <w:tcPr>
            <w:tcW w:w="240" w:type="dxa"/>
            <w:vAlign w:val="bottom"/>
          </w:tcPr>
          <w:p>
            <w:pPr>
              <w:spacing w:after="0"/>
              <w:rPr>
                <w:sz w:val="5"/>
                <w:szCs w:val="5"/>
                <w:color w:val="auto"/>
              </w:rPr>
            </w:pPr>
          </w:p>
        </w:tc>
        <w:tc>
          <w:tcPr>
            <w:tcW w:w="660" w:type="dxa"/>
            <w:vAlign w:val="bottom"/>
            <w:gridSpan w:val="2"/>
            <w:vMerge w:val="restart"/>
          </w:tcPr>
          <w:p>
            <w:pPr>
              <w:spacing w:after="0"/>
              <w:rPr>
                <w:sz w:val="20"/>
                <w:szCs w:val="20"/>
                <w:color w:val="auto"/>
              </w:rPr>
            </w:pPr>
            <w:r>
              <w:rPr>
                <w:rFonts w:ascii="Arial" w:cs="Arial" w:eastAsia="Arial" w:hAnsi="Arial"/>
                <w:sz w:val="8"/>
                <w:szCs w:val="8"/>
                <w:b w:val="1"/>
                <w:bCs w:val="1"/>
                <w:color w:val="auto"/>
              </w:rPr>
              <w:t>Amount</w:t>
            </w:r>
          </w:p>
        </w:tc>
        <w:tc>
          <w:tcPr>
            <w:tcW w:w="240" w:type="dxa"/>
            <w:vAlign w:val="bottom"/>
          </w:tcPr>
          <w:p>
            <w:pPr>
              <w:spacing w:after="0"/>
              <w:rPr>
                <w:sz w:val="5"/>
                <w:szCs w:val="5"/>
                <w:color w:val="auto"/>
              </w:rPr>
            </w:pPr>
          </w:p>
        </w:tc>
        <w:tc>
          <w:tcPr>
            <w:tcW w:w="1080" w:type="dxa"/>
            <w:vAlign w:val="bottom"/>
            <w:gridSpan w:val="2"/>
          </w:tcPr>
          <w:p>
            <w:pPr>
              <w:jc w:val="center"/>
              <w:ind w:right="340"/>
              <w:spacing w:after="0" w:line="65" w:lineRule="exact"/>
              <w:rPr>
                <w:sz w:val="20"/>
                <w:szCs w:val="20"/>
                <w:color w:val="auto"/>
              </w:rPr>
            </w:pPr>
            <w:r>
              <w:rPr>
                <w:rFonts w:ascii="Arial" w:cs="Arial" w:eastAsia="Arial" w:hAnsi="Arial"/>
                <w:sz w:val="7"/>
                <w:szCs w:val="7"/>
                <w:b w:val="1"/>
                <w:bCs w:val="1"/>
                <w:color w:val="auto"/>
              </w:rPr>
              <w:t>Paid-in</w:t>
            </w:r>
          </w:p>
        </w:tc>
        <w:tc>
          <w:tcPr>
            <w:tcW w:w="160" w:type="dxa"/>
            <w:vAlign w:val="bottom"/>
          </w:tcPr>
          <w:p>
            <w:pPr>
              <w:spacing w:after="0"/>
              <w:rPr>
                <w:sz w:val="5"/>
                <w:szCs w:val="5"/>
                <w:color w:val="auto"/>
              </w:rPr>
            </w:pPr>
          </w:p>
        </w:tc>
        <w:tc>
          <w:tcPr>
            <w:tcW w:w="1160" w:type="dxa"/>
            <w:vAlign w:val="bottom"/>
            <w:gridSpan w:val="2"/>
          </w:tcPr>
          <w:p>
            <w:pPr>
              <w:ind w:left="100"/>
              <w:spacing w:after="0" w:line="65" w:lineRule="exact"/>
              <w:rPr>
                <w:sz w:val="20"/>
                <w:szCs w:val="20"/>
                <w:color w:val="auto"/>
              </w:rPr>
            </w:pPr>
            <w:r>
              <w:rPr>
                <w:rFonts w:ascii="Arial" w:cs="Arial" w:eastAsia="Arial" w:hAnsi="Arial"/>
                <w:sz w:val="7"/>
                <w:szCs w:val="7"/>
                <w:b w:val="1"/>
                <w:bCs w:val="1"/>
                <w:color w:val="auto"/>
              </w:rPr>
              <w:t>Accumulated Other</w:t>
            </w:r>
          </w:p>
        </w:tc>
        <w:tc>
          <w:tcPr>
            <w:tcW w:w="220" w:type="dxa"/>
            <w:vAlign w:val="bottom"/>
          </w:tcPr>
          <w:p>
            <w:pPr>
              <w:spacing w:after="0"/>
              <w:rPr>
                <w:sz w:val="5"/>
                <w:szCs w:val="5"/>
                <w:color w:val="auto"/>
              </w:rPr>
            </w:pPr>
          </w:p>
        </w:tc>
        <w:tc>
          <w:tcPr>
            <w:tcW w:w="1120" w:type="dxa"/>
            <w:vAlign w:val="bottom"/>
            <w:gridSpan w:val="2"/>
          </w:tcPr>
          <w:p>
            <w:pPr>
              <w:ind w:left="160"/>
              <w:spacing w:after="0" w:line="65" w:lineRule="exact"/>
              <w:rPr>
                <w:sz w:val="20"/>
                <w:szCs w:val="20"/>
                <w:color w:val="auto"/>
              </w:rPr>
            </w:pPr>
            <w:r>
              <w:rPr>
                <w:rFonts w:ascii="Arial" w:cs="Arial" w:eastAsia="Arial" w:hAnsi="Arial"/>
                <w:sz w:val="7"/>
                <w:szCs w:val="7"/>
                <w:b w:val="1"/>
                <w:bCs w:val="1"/>
                <w:color w:val="auto"/>
              </w:rPr>
              <w:t>Accumulated</w:t>
            </w:r>
          </w:p>
        </w:tc>
        <w:tc>
          <w:tcPr>
            <w:tcW w:w="200" w:type="dxa"/>
            <w:vAlign w:val="bottom"/>
          </w:tcPr>
          <w:p>
            <w:pPr>
              <w:spacing w:after="0"/>
              <w:rPr>
                <w:sz w:val="5"/>
                <w:szCs w:val="5"/>
                <w:color w:val="auto"/>
              </w:rPr>
            </w:pPr>
          </w:p>
        </w:tc>
        <w:tc>
          <w:tcPr>
            <w:tcW w:w="1020" w:type="dxa"/>
            <w:vAlign w:val="bottom"/>
          </w:tcPr>
          <w:p>
            <w:pPr>
              <w:jc w:val="center"/>
              <w:ind w:right="152"/>
              <w:spacing w:after="0" w:line="65" w:lineRule="exact"/>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117"/>
        </w:trPr>
        <w:tc>
          <w:tcPr>
            <w:tcW w:w="42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8"/>
                <w:szCs w:val="8"/>
                <w:b w:val="1"/>
                <w:bCs w:val="1"/>
                <w:color w:val="auto"/>
                <w:w w:val="97"/>
              </w:rPr>
              <w:t>Capital</w:t>
            </w:r>
          </w:p>
        </w:tc>
        <w:tc>
          <w:tcPr>
            <w:tcW w:w="160" w:type="dxa"/>
            <w:vAlign w:val="bottom"/>
          </w:tcPr>
          <w:p>
            <w:pPr>
              <w:spacing w:after="0"/>
              <w:rPr>
                <w:sz w:val="10"/>
                <w:szCs w:val="10"/>
                <w:color w:val="auto"/>
              </w:rPr>
            </w:pPr>
          </w:p>
        </w:tc>
        <w:tc>
          <w:tcPr>
            <w:tcW w:w="1160" w:type="dxa"/>
            <w:vAlign w:val="bottom"/>
            <w:gridSpan w:val="2"/>
          </w:tcPr>
          <w:p>
            <w:pPr>
              <w:ind w:left="80"/>
              <w:spacing w:after="0"/>
              <w:rPr>
                <w:sz w:val="20"/>
                <w:szCs w:val="20"/>
                <w:color w:val="auto"/>
              </w:rPr>
            </w:pPr>
            <w:r>
              <w:rPr>
                <w:rFonts w:ascii="Arial" w:cs="Arial" w:eastAsia="Arial" w:hAnsi="Arial"/>
                <w:sz w:val="8"/>
                <w:szCs w:val="8"/>
                <w:b w:val="1"/>
                <w:bCs w:val="1"/>
                <w:color w:val="auto"/>
              </w:rPr>
              <w:t>Comprehensive Loss</w:t>
            </w:r>
          </w:p>
        </w:tc>
        <w:tc>
          <w:tcPr>
            <w:tcW w:w="220" w:type="dxa"/>
            <w:vAlign w:val="bottom"/>
          </w:tcPr>
          <w:p>
            <w:pPr>
              <w:spacing w:after="0"/>
              <w:rPr>
                <w:sz w:val="10"/>
                <w:szCs w:val="10"/>
                <w:color w:val="auto"/>
              </w:rPr>
            </w:pPr>
          </w:p>
        </w:tc>
        <w:tc>
          <w:tcPr>
            <w:tcW w:w="1120" w:type="dxa"/>
            <w:vAlign w:val="bottom"/>
            <w:gridSpan w:val="2"/>
          </w:tcPr>
          <w:p>
            <w:pPr>
              <w:ind w:left="280"/>
              <w:spacing w:after="0"/>
              <w:rPr>
                <w:sz w:val="20"/>
                <w:szCs w:val="20"/>
                <w:color w:val="auto"/>
              </w:rPr>
            </w:pPr>
            <w:r>
              <w:rPr>
                <w:rFonts w:ascii="Arial" w:cs="Arial" w:eastAsia="Arial" w:hAnsi="Arial"/>
                <w:sz w:val="8"/>
                <w:szCs w:val="8"/>
                <w:b w:val="1"/>
                <w:bCs w:val="1"/>
                <w:color w:val="auto"/>
              </w:rPr>
              <w:t>Deficit</w:t>
            </w:r>
          </w:p>
        </w:tc>
        <w:tc>
          <w:tcPr>
            <w:tcW w:w="200" w:type="dxa"/>
            <w:vAlign w:val="bottom"/>
          </w:tcPr>
          <w:p>
            <w:pPr>
              <w:spacing w:after="0"/>
              <w:rPr>
                <w:sz w:val="10"/>
                <w:szCs w:val="10"/>
                <w:color w:val="auto"/>
              </w:rPr>
            </w:pPr>
          </w:p>
        </w:tc>
        <w:tc>
          <w:tcPr>
            <w:tcW w:w="1020" w:type="dxa"/>
            <w:vAlign w:val="bottom"/>
          </w:tcPr>
          <w:p>
            <w:pPr>
              <w:jc w:val="center"/>
              <w:ind w:right="152"/>
              <w:spacing w:after="0"/>
              <w:rPr>
                <w:sz w:val="20"/>
                <w:szCs w:val="20"/>
                <w:color w:val="auto"/>
              </w:rPr>
            </w:pPr>
            <w:r>
              <w:rPr>
                <w:rFonts w:ascii="Arial" w:cs="Arial" w:eastAsia="Arial" w:hAnsi="Arial"/>
                <w:sz w:val="8"/>
                <w:szCs w:val="8"/>
                <w:b w:val="1"/>
                <w:bCs w:val="1"/>
                <w:color w:val="auto"/>
              </w:rPr>
              <w:t>Equity</w:t>
            </w:r>
          </w:p>
        </w:tc>
        <w:tc>
          <w:tcPr>
            <w:tcW w:w="0" w:type="dxa"/>
            <w:vAlign w:val="bottom"/>
          </w:tcPr>
          <w:p>
            <w:pPr>
              <w:spacing w:after="0"/>
              <w:rPr>
                <w:sz w:val="1"/>
                <w:szCs w:val="1"/>
                <w:color w:val="auto"/>
              </w:rPr>
            </w:pPr>
          </w:p>
        </w:tc>
      </w:tr>
      <w:tr>
        <w:trPr>
          <w:trHeight w:val="148"/>
        </w:trPr>
        <w:tc>
          <w:tcPr>
            <w:tcW w:w="42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Balance, December 31, 2021</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27,647</w:t>
            </w:r>
          </w:p>
        </w:tc>
        <w:tc>
          <w:tcPr>
            <w:tcW w:w="1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ind w:right="131"/>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28</w:t>
            </w:r>
          </w:p>
        </w:tc>
        <w:tc>
          <w:tcPr>
            <w:tcW w:w="1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ind w:right="13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678,575</w:t>
            </w:r>
          </w:p>
        </w:tc>
        <w:tc>
          <w:tcPr>
            <w:tcW w:w="1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(422)</w:t>
            </w:r>
          </w:p>
        </w:tc>
        <w:tc>
          <w:tcPr>
            <w:tcW w:w="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jc w:val="right"/>
              <w:ind w:right="111"/>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(321,753)</w:t>
            </w:r>
          </w:p>
        </w:tc>
        <w:tc>
          <w:tcPr>
            <w:tcW w:w="10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jc w:val="right"/>
              <w:ind w:right="91"/>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356,428</w:t>
            </w:r>
          </w:p>
        </w:tc>
        <w:tc>
          <w:tcPr>
            <w:tcW w:w="0" w:type="dxa"/>
            <w:vAlign w:val="bottom"/>
          </w:tcPr>
          <w:p>
            <w:pPr>
              <w:spacing w:after="0"/>
              <w:rPr>
                <w:sz w:val="1"/>
                <w:szCs w:val="1"/>
                <w:color w:val="auto"/>
              </w:rPr>
            </w:pPr>
          </w:p>
        </w:tc>
      </w:tr>
      <w:tr>
        <w:trPr>
          <w:trHeight w:val="152"/>
        </w:trPr>
        <w:tc>
          <w:tcPr>
            <w:tcW w:w="4280" w:type="dxa"/>
            <w:vAlign w:val="bottom"/>
          </w:tcPr>
          <w:p>
            <w:pPr>
              <w:ind w:left="80"/>
              <w:spacing w:after="0"/>
              <w:rPr>
                <w:sz w:val="20"/>
                <w:szCs w:val="20"/>
                <w:color w:val="auto"/>
              </w:rPr>
            </w:pPr>
            <w:r>
              <w:rPr>
                <w:rFonts w:ascii="Arial" w:cs="Arial" w:eastAsia="Arial" w:hAnsi="Arial"/>
                <w:sz w:val="11"/>
                <w:szCs w:val="11"/>
                <w:color w:val="auto"/>
                <w:w w:val="97"/>
              </w:rPr>
              <w:t>Issuance of common stock from exercises of options and employee stock purchase plan</w:t>
            </w:r>
          </w:p>
        </w:tc>
        <w:tc>
          <w:tcPr>
            <w:tcW w:w="800" w:type="dxa"/>
            <w:vAlign w:val="bottom"/>
          </w:tcPr>
          <w:p>
            <w:pPr>
              <w:jc w:val="right"/>
              <w:spacing w:after="0"/>
              <w:rPr>
                <w:sz w:val="20"/>
                <w:szCs w:val="20"/>
                <w:color w:val="auto"/>
              </w:rPr>
            </w:pPr>
            <w:r>
              <w:rPr>
                <w:rFonts w:ascii="Arial" w:cs="Arial" w:eastAsia="Arial" w:hAnsi="Arial"/>
                <w:sz w:val="10"/>
                <w:szCs w:val="10"/>
                <w:color w:val="auto"/>
              </w:rPr>
              <w:t>531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4,844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ind w:left="92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3"/>
                <w:szCs w:val="13"/>
                <w:color w:val="auto"/>
              </w:rPr>
            </w:pPr>
          </w:p>
        </w:tc>
        <w:tc>
          <w:tcPr>
            <w:tcW w:w="1120" w:type="dxa"/>
            <w:vAlign w:val="bottom"/>
            <w:gridSpan w:val="2"/>
          </w:tcPr>
          <w:p>
            <w:pPr>
              <w:ind w:left="88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4,844</w:t>
            </w:r>
          </w:p>
        </w:tc>
        <w:tc>
          <w:tcPr>
            <w:tcW w:w="0" w:type="dxa"/>
            <w:vAlign w:val="bottom"/>
          </w:tcPr>
          <w:p>
            <w:pPr>
              <w:spacing w:after="0"/>
              <w:rPr>
                <w:sz w:val="1"/>
                <w:szCs w:val="1"/>
                <w:color w:val="auto"/>
              </w:rPr>
            </w:pPr>
          </w:p>
        </w:tc>
      </w:tr>
      <w:tr>
        <w:trPr>
          <w:trHeight w:val="166"/>
        </w:trPr>
        <w:tc>
          <w:tcPr>
            <w:tcW w:w="4280" w:type="dxa"/>
            <w:vAlign w:val="bottom"/>
            <w:shd w:val="clear" w:color="auto" w:fill="CFF0FC"/>
          </w:tcPr>
          <w:p>
            <w:pPr>
              <w:ind w:left="80"/>
              <w:spacing w:after="0"/>
              <w:rPr>
                <w:sz w:val="20"/>
                <w:szCs w:val="20"/>
                <w:color w:val="auto"/>
              </w:rPr>
            </w:pPr>
            <w:r>
              <w:rPr>
                <w:rFonts w:ascii="Arial" w:cs="Arial" w:eastAsia="Arial" w:hAnsi="Arial"/>
                <w:sz w:val="11"/>
                <w:szCs w:val="11"/>
                <w:color w:val="auto"/>
              </w:rPr>
              <w:t>Stock-based compensation</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7,742</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ind w:left="9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ind w:left="880"/>
              <w:spacing w:after="0"/>
              <w:rPr>
                <w:sz w:val="20"/>
                <w:szCs w:val="20"/>
                <w:color w:val="auto"/>
              </w:rPr>
            </w:pPr>
            <w:r>
              <w:rPr>
                <w:rFonts w:ascii="Arial" w:cs="Arial" w:eastAsia="Arial" w:hAnsi="Arial"/>
                <w:sz w:val="10"/>
                <w:szCs w:val="10"/>
                <w:color w:val="auto"/>
              </w:rPr>
              <w:t>—</w:t>
            </w: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7,742</w:t>
            </w:r>
          </w:p>
        </w:tc>
        <w:tc>
          <w:tcPr>
            <w:tcW w:w="0" w:type="dxa"/>
            <w:vAlign w:val="bottom"/>
          </w:tcPr>
          <w:p>
            <w:pPr>
              <w:spacing w:after="0"/>
              <w:rPr>
                <w:sz w:val="1"/>
                <w:szCs w:val="1"/>
                <w:color w:val="auto"/>
              </w:rPr>
            </w:pPr>
          </w:p>
        </w:tc>
      </w:tr>
      <w:tr>
        <w:trPr>
          <w:trHeight w:val="152"/>
        </w:trPr>
        <w:tc>
          <w:tcPr>
            <w:tcW w:w="4280" w:type="dxa"/>
            <w:vAlign w:val="bottom"/>
          </w:tcPr>
          <w:p>
            <w:pPr>
              <w:ind w:left="20"/>
              <w:spacing w:after="0"/>
              <w:rPr>
                <w:sz w:val="20"/>
                <w:szCs w:val="20"/>
                <w:color w:val="auto"/>
              </w:rPr>
            </w:pPr>
            <w:r>
              <w:rPr>
                <w:rFonts w:ascii="Arial" w:cs="Arial" w:eastAsia="Arial" w:hAnsi="Arial"/>
                <w:sz w:val="11"/>
                <w:szCs w:val="11"/>
                <w:color w:val="auto"/>
              </w:rPr>
              <w:t>Comprehensive loss, net</w:t>
            </w:r>
          </w:p>
        </w:tc>
        <w:tc>
          <w:tcPr>
            <w:tcW w:w="9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(2,012)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ind w:left="88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(2,012)</w:t>
            </w:r>
          </w:p>
        </w:tc>
        <w:tc>
          <w:tcPr>
            <w:tcW w:w="0" w:type="dxa"/>
            <w:vAlign w:val="bottom"/>
          </w:tcPr>
          <w:p>
            <w:pPr>
              <w:spacing w:after="0"/>
              <w:rPr>
                <w:sz w:val="1"/>
                <w:szCs w:val="1"/>
                <w:color w:val="auto"/>
              </w:rPr>
            </w:pPr>
          </w:p>
        </w:tc>
      </w:tr>
      <w:tr>
        <w:trPr>
          <w:trHeight w:val="166"/>
        </w:trPr>
        <w:tc>
          <w:tcPr>
            <w:tcW w:w="4280" w:type="dxa"/>
            <w:vAlign w:val="bottom"/>
            <w:shd w:val="clear" w:color="auto" w:fill="CFF0FC"/>
          </w:tcPr>
          <w:p>
            <w:pPr>
              <w:ind w:left="80"/>
              <w:spacing w:after="0"/>
              <w:rPr>
                <w:sz w:val="20"/>
                <w:szCs w:val="20"/>
                <w:color w:val="auto"/>
              </w:rPr>
            </w:pPr>
            <w:r>
              <w:rPr>
                <w:rFonts w:ascii="Arial" w:cs="Arial" w:eastAsia="Arial" w:hAnsi="Arial"/>
                <w:sz w:val="11"/>
                <w:szCs w:val="11"/>
                <w:color w:val="auto"/>
              </w:rPr>
              <w:t>Net loss</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ind w:left="9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(36,255)</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(36,255)</w:t>
            </w:r>
          </w:p>
        </w:tc>
        <w:tc>
          <w:tcPr>
            <w:tcW w:w="0" w:type="dxa"/>
            <w:vAlign w:val="bottom"/>
          </w:tcPr>
          <w:p>
            <w:pPr>
              <w:spacing w:after="0"/>
              <w:rPr>
                <w:sz w:val="1"/>
                <w:szCs w:val="1"/>
                <w:color w:val="auto"/>
              </w:rPr>
            </w:pPr>
          </w:p>
        </w:tc>
      </w:tr>
      <w:tr>
        <w:trPr>
          <w:trHeight w:val="133"/>
        </w:trPr>
        <w:tc>
          <w:tcPr>
            <w:tcW w:w="4280" w:type="dxa"/>
            <w:vAlign w:val="bottom"/>
            <w:tcBorders>
              <w:bottom w:val="single" w:sz="8" w:color="CFF0FC"/>
            </w:tcBorders>
          </w:tcPr>
          <w:p>
            <w:pPr>
              <w:ind w:left="20"/>
              <w:spacing w:after="0"/>
              <w:rPr>
                <w:sz w:val="20"/>
                <w:szCs w:val="20"/>
                <w:color w:val="auto"/>
              </w:rPr>
            </w:pPr>
            <w:r>
              <w:rPr>
                <w:rFonts w:ascii="Arial" w:cs="Arial" w:eastAsia="Arial" w:hAnsi="Arial"/>
                <w:sz w:val="11"/>
                <w:szCs w:val="11"/>
                <w:b w:val="1"/>
                <w:bCs w:val="1"/>
                <w:color w:val="auto"/>
              </w:rPr>
              <w:t>Balance, March 31, 2022</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28,178</w:t>
            </w:r>
          </w:p>
        </w:tc>
        <w:tc>
          <w:tcPr>
            <w:tcW w:w="100" w:type="dxa"/>
            <w:vAlign w:val="bottom"/>
            <w:tcBorders>
              <w:bottom w:val="single" w:sz="8" w:color="CFF0FC"/>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28</w:t>
            </w:r>
          </w:p>
        </w:tc>
        <w:tc>
          <w:tcPr>
            <w:tcW w:w="100" w:type="dxa"/>
            <w:vAlign w:val="bottom"/>
            <w:tcBorders>
              <w:bottom w:val="single" w:sz="8" w:color="CFF0FC"/>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691,161</w:t>
            </w:r>
          </w:p>
        </w:tc>
        <w:tc>
          <w:tcPr>
            <w:tcW w:w="100" w:type="dxa"/>
            <w:vAlign w:val="bottom"/>
            <w:tcBorders>
              <w:bottom w:val="single" w:sz="8" w:color="CFF0FC"/>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(2,434)</w:t>
            </w:r>
          </w:p>
        </w:tc>
        <w:tc>
          <w:tcPr>
            <w:tcW w:w="80" w:type="dxa"/>
            <w:vAlign w:val="bottom"/>
            <w:tcBorders>
              <w:bottom w:val="single" w:sz="8" w:color="CFF0FC"/>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(358,008)</w:t>
            </w:r>
          </w:p>
        </w:tc>
        <w:tc>
          <w:tcPr>
            <w:tcW w:w="100" w:type="dxa"/>
            <w:vAlign w:val="bottom"/>
            <w:tcBorders>
              <w:bottom w:val="single" w:sz="8" w:color="CFF0FC"/>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330,747</w:t>
            </w:r>
          </w:p>
        </w:tc>
        <w:tc>
          <w:tcPr>
            <w:tcW w:w="0" w:type="dxa"/>
            <w:vAlign w:val="bottom"/>
          </w:tcPr>
          <w:p>
            <w:pPr>
              <w:spacing w:after="0"/>
              <w:rPr>
                <w:sz w:val="1"/>
                <w:szCs w:val="1"/>
                <w:color w:val="auto"/>
              </w:rPr>
            </w:pPr>
          </w:p>
        </w:tc>
      </w:tr>
      <w:tr>
        <w:trPr>
          <w:trHeight w:val="145"/>
        </w:trPr>
        <w:tc>
          <w:tcPr>
            <w:tcW w:w="4280" w:type="dxa"/>
            <w:vAlign w:val="bottom"/>
            <w:shd w:val="clear" w:color="auto" w:fill="CFF0FC"/>
          </w:tcPr>
          <w:p>
            <w:pPr>
              <w:ind w:left="80"/>
              <w:spacing w:after="0"/>
              <w:rPr>
                <w:sz w:val="20"/>
                <w:szCs w:val="20"/>
                <w:color w:val="auto"/>
              </w:rPr>
            </w:pPr>
            <w:r>
              <w:rPr>
                <w:rFonts w:ascii="Arial" w:cs="Arial" w:eastAsia="Arial" w:hAnsi="Arial"/>
                <w:sz w:val="11"/>
                <w:szCs w:val="11"/>
                <w:color w:val="auto"/>
                <w:w w:val="97"/>
              </w:rPr>
              <w:t>Issuance of common stock from exercises of options and employee stock purchase plan</w:t>
            </w:r>
          </w:p>
        </w:tc>
        <w:tc>
          <w:tcPr>
            <w:tcW w:w="8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53</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882</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ind w:left="9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ind w:left="880"/>
              <w:spacing w:after="0"/>
              <w:rPr>
                <w:sz w:val="20"/>
                <w:szCs w:val="20"/>
                <w:color w:val="auto"/>
              </w:rPr>
            </w:pPr>
            <w:r>
              <w:rPr>
                <w:rFonts w:ascii="Arial" w:cs="Arial" w:eastAsia="Arial" w:hAnsi="Arial"/>
                <w:sz w:val="10"/>
                <w:szCs w:val="10"/>
                <w:color w:val="auto"/>
              </w:rPr>
              <w:t>—</w:t>
            </w:r>
          </w:p>
        </w:tc>
        <w:tc>
          <w:tcPr>
            <w:tcW w:w="2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882</w:t>
            </w:r>
          </w:p>
        </w:tc>
        <w:tc>
          <w:tcPr>
            <w:tcW w:w="0" w:type="dxa"/>
            <w:vAlign w:val="bottom"/>
          </w:tcPr>
          <w:p>
            <w:pPr>
              <w:spacing w:after="0"/>
              <w:rPr>
                <w:sz w:val="1"/>
                <w:szCs w:val="1"/>
                <w:color w:val="auto"/>
              </w:rPr>
            </w:pPr>
          </w:p>
        </w:tc>
      </w:tr>
      <w:tr>
        <w:trPr>
          <w:trHeight w:val="152"/>
        </w:trPr>
        <w:tc>
          <w:tcPr>
            <w:tcW w:w="4280" w:type="dxa"/>
            <w:vAlign w:val="bottom"/>
          </w:tcPr>
          <w:p>
            <w:pPr>
              <w:ind w:left="80"/>
              <w:spacing w:after="0"/>
              <w:rPr>
                <w:sz w:val="20"/>
                <w:szCs w:val="20"/>
                <w:color w:val="auto"/>
              </w:rPr>
            </w:pPr>
            <w:r>
              <w:rPr>
                <w:rFonts w:ascii="Arial" w:cs="Arial" w:eastAsia="Arial" w:hAnsi="Arial"/>
                <w:sz w:val="11"/>
                <w:szCs w:val="11"/>
                <w:color w:val="auto"/>
              </w:rPr>
              <w:t>Stock-based compensation</w:t>
            </w:r>
          </w:p>
        </w:tc>
        <w:tc>
          <w:tcPr>
            <w:tcW w:w="9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6,658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ind w:left="92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3"/>
                <w:szCs w:val="13"/>
                <w:color w:val="auto"/>
              </w:rPr>
            </w:pPr>
          </w:p>
        </w:tc>
        <w:tc>
          <w:tcPr>
            <w:tcW w:w="1120" w:type="dxa"/>
            <w:vAlign w:val="bottom"/>
            <w:gridSpan w:val="2"/>
          </w:tcPr>
          <w:p>
            <w:pPr>
              <w:ind w:left="88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6,658</w:t>
            </w:r>
          </w:p>
        </w:tc>
        <w:tc>
          <w:tcPr>
            <w:tcW w:w="0" w:type="dxa"/>
            <w:vAlign w:val="bottom"/>
          </w:tcPr>
          <w:p>
            <w:pPr>
              <w:spacing w:after="0"/>
              <w:rPr>
                <w:sz w:val="1"/>
                <w:szCs w:val="1"/>
                <w:color w:val="auto"/>
              </w:rPr>
            </w:pPr>
          </w:p>
        </w:tc>
      </w:tr>
      <w:tr>
        <w:trPr>
          <w:trHeight w:val="166"/>
        </w:trPr>
        <w:tc>
          <w:tcPr>
            <w:tcW w:w="4280" w:type="dxa"/>
            <w:vAlign w:val="bottom"/>
            <w:shd w:val="clear" w:color="auto" w:fill="CFF0FC"/>
          </w:tcPr>
          <w:p>
            <w:pPr>
              <w:ind w:left="80"/>
              <w:spacing w:after="0"/>
              <w:rPr>
                <w:sz w:val="20"/>
                <w:szCs w:val="20"/>
                <w:color w:val="auto"/>
              </w:rPr>
            </w:pPr>
            <w:r>
              <w:rPr>
                <w:rFonts w:ascii="Arial" w:cs="Arial" w:eastAsia="Arial" w:hAnsi="Arial"/>
                <w:sz w:val="11"/>
                <w:szCs w:val="11"/>
                <w:color w:val="auto"/>
              </w:rPr>
              <w:t>Comprehensive loss, net</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(1,427)</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ind w:left="880"/>
              <w:spacing w:after="0"/>
              <w:rPr>
                <w:sz w:val="20"/>
                <w:szCs w:val="20"/>
                <w:color w:val="auto"/>
              </w:rPr>
            </w:pPr>
            <w:r>
              <w:rPr>
                <w:rFonts w:ascii="Arial" w:cs="Arial" w:eastAsia="Arial" w:hAnsi="Arial"/>
                <w:sz w:val="10"/>
                <w:szCs w:val="10"/>
                <w:color w:val="auto"/>
              </w:rPr>
              <w:t>—</w:t>
            </w: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(1,427)</w:t>
            </w:r>
          </w:p>
        </w:tc>
        <w:tc>
          <w:tcPr>
            <w:tcW w:w="0" w:type="dxa"/>
            <w:vAlign w:val="bottom"/>
          </w:tcPr>
          <w:p>
            <w:pPr>
              <w:spacing w:after="0"/>
              <w:rPr>
                <w:sz w:val="1"/>
                <w:szCs w:val="1"/>
                <w:color w:val="auto"/>
              </w:rPr>
            </w:pPr>
          </w:p>
        </w:tc>
      </w:tr>
      <w:tr>
        <w:trPr>
          <w:trHeight w:val="152"/>
        </w:trPr>
        <w:tc>
          <w:tcPr>
            <w:tcW w:w="4280" w:type="dxa"/>
            <w:vAlign w:val="bottom"/>
          </w:tcPr>
          <w:p>
            <w:pPr>
              <w:ind w:left="80"/>
              <w:spacing w:after="0"/>
              <w:rPr>
                <w:sz w:val="20"/>
                <w:szCs w:val="20"/>
                <w:color w:val="auto"/>
              </w:rPr>
            </w:pPr>
            <w:r>
              <w:rPr>
                <w:rFonts w:ascii="Arial" w:cs="Arial" w:eastAsia="Arial" w:hAnsi="Arial"/>
                <w:sz w:val="11"/>
                <w:szCs w:val="11"/>
                <w:color w:val="auto"/>
              </w:rPr>
              <w:t>Net loss</w:t>
            </w:r>
          </w:p>
        </w:tc>
        <w:tc>
          <w:tcPr>
            <w:tcW w:w="9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3"/>
                <w:szCs w:val="13"/>
                <w:color w:val="auto"/>
              </w:rPr>
            </w:pPr>
          </w:p>
        </w:tc>
        <w:tc>
          <w:tcPr>
            <w:tcW w:w="1160" w:type="dxa"/>
            <w:vAlign w:val="bottom"/>
            <w:gridSpan w:val="2"/>
          </w:tcPr>
          <w:p>
            <w:pPr>
              <w:ind w:left="92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(32,554)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(32,554)</w:t>
            </w:r>
          </w:p>
        </w:tc>
        <w:tc>
          <w:tcPr>
            <w:tcW w:w="0" w:type="dxa"/>
            <w:vAlign w:val="bottom"/>
          </w:tcPr>
          <w:p>
            <w:pPr>
              <w:spacing w:after="0"/>
              <w:rPr>
                <w:sz w:val="1"/>
                <w:szCs w:val="1"/>
                <w:color w:val="auto"/>
              </w:rPr>
            </w:pPr>
          </w:p>
        </w:tc>
      </w:tr>
      <w:tr>
        <w:trPr>
          <w:trHeight w:val="146"/>
        </w:trPr>
        <w:tc>
          <w:tcPr>
            <w:tcW w:w="42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Balance, June 30, 2022</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28,231</w:t>
            </w:r>
          </w:p>
        </w:tc>
        <w:tc>
          <w:tcPr>
            <w:tcW w:w="1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28</w:t>
            </w:r>
          </w:p>
        </w:tc>
        <w:tc>
          <w:tcPr>
            <w:tcW w:w="1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spacing w:after="0"/>
              <w:rPr>
                <w:sz w:val="12"/>
                <w:szCs w:val="12"/>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698,701</w:t>
            </w:r>
          </w:p>
        </w:tc>
        <w:tc>
          <w:tcPr>
            <w:tcW w:w="1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(3,861)</w:t>
            </w:r>
          </w:p>
        </w:tc>
        <w:tc>
          <w:tcPr>
            <w:tcW w:w="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spacing w:after="0"/>
              <w:rPr>
                <w:sz w:val="12"/>
                <w:szCs w:val="12"/>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(390,562)</w:t>
            </w:r>
          </w:p>
        </w:tc>
        <w:tc>
          <w:tcPr>
            <w:tcW w:w="100" w:type="dxa"/>
            <w:vAlign w:val="bottom"/>
            <w:tcBorders>
              <w:top w:val="single" w:sz="8" w:color="CFF0FC"/>
            </w:tcBorders>
            <w:shd w:val="clear" w:color="auto" w:fill="CFF0FC"/>
          </w:tcPr>
          <w:p>
            <w:pPr>
              <w:spacing w:after="0"/>
              <w:rPr>
                <w:sz w:val="12"/>
                <w:szCs w:val="12"/>
                <w:color w:val="auto"/>
              </w:rPr>
            </w:pPr>
          </w:p>
        </w:tc>
        <w:tc>
          <w:tcPr>
            <w:tcW w:w="200" w:type="dxa"/>
            <w:vAlign w:val="bottom"/>
            <w:tcBorders>
              <w:top w:val="single" w:sz="8" w:color="auto"/>
              <w:bottom w:val="single" w:sz="8" w:color="auto"/>
            </w:tcBorders>
            <w:shd w:val="clear" w:color="auto" w:fill="CFF0FC"/>
          </w:tcPr>
          <w:p>
            <w:pPr>
              <w:spacing w:after="0"/>
              <w:rPr>
                <w:sz w:val="12"/>
                <w:szCs w:val="12"/>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304,306</w:t>
            </w:r>
          </w:p>
        </w:tc>
        <w:tc>
          <w:tcPr>
            <w:tcW w:w="0" w:type="dxa"/>
            <w:vAlign w:val="bottom"/>
          </w:tcPr>
          <w:p>
            <w:pPr>
              <w:spacing w:after="0"/>
              <w:rPr>
                <w:sz w:val="1"/>
                <w:szCs w:val="1"/>
                <w:color w:val="auto"/>
              </w:rPr>
            </w:pPr>
          </w:p>
        </w:tc>
      </w:tr>
      <w:tr>
        <w:trPr>
          <w:trHeight w:val="132"/>
        </w:trPr>
        <w:tc>
          <w:tcPr>
            <w:tcW w:w="4280" w:type="dxa"/>
            <w:vAlign w:val="bottom"/>
          </w:tcPr>
          <w:p>
            <w:pPr>
              <w:ind w:left="80"/>
              <w:spacing w:after="0" w:line="125" w:lineRule="exact"/>
              <w:rPr>
                <w:sz w:val="20"/>
                <w:szCs w:val="20"/>
                <w:color w:val="auto"/>
              </w:rPr>
            </w:pPr>
            <w:r>
              <w:rPr>
                <w:rFonts w:ascii="Arial" w:cs="Arial" w:eastAsia="Arial" w:hAnsi="Arial"/>
                <w:sz w:val="11"/>
                <w:szCs w:val="11"/>
                <w:color w:val="auto"/>
                <w:w w:val="97"/>
              </w:rPr>
              <w:t>Issuance of common stock from exercises of options and employee stock purchase plan</w:t>
            </w:r>
          </w:p>
        </w:tc>
        <w:tc>
          <w:tcPr>
            <w:tcW w:w="800" w:type="dxa"/>
            <w:vAlign w:val="bottom"/>
          </w:tcPr>
          <w:p>
            <w:pPr>
              <w:jc w:val="right"/>
              <w:spacing w:after="0"/>
              <w:rPr>
                <w:sz w:val="20"/>
                <w:szCs w:val="20"/>
                <w:color w:val="auto"/>
              </w:rPr>
            </w:pPr>
            <w:r>
              <w:rPr>
                <w:rFonts w:ascii="Arial" w:cs="Arial" w:eastAsia="Arial" w:hAnsi="Arial"/>
                <w:sz w:val="10"/>
                <w:szCs w:val="10"/>
                <w:color w:val="auto"/>
              </w:rPr>
              <w:t>123</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2,690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92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120" w:type="dxa"/>
            <w:vAlign w:val="bottom"/>
            <w:gridSpan w:val="2"/>
          </w:tcPr>
          <w:p>
            <w:pPr>
              <w:ind w:left="88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2,690</w:t>
            </w:r>
          </w:p>
        </w:tc>
        <w:tc>
          <w:tcPr>
            <w:tcW w:w="0" w:type="dxa"/>
            <w:vAlign w:val="bottom"/>
          </w:tcPr>
          <w:p>
            <w:pPr>
              <w:spacing w:after="0"/>
              <w:rPr>
                <w:sz w:val="1"/>
                <w:szCs w:val="1"/>
                <w:color w:val="auto"/>
              </w:rPr>
            </w:pPr>
          </w:p>
        </w:tc>
      </w:tr>
      <w:tr>
        <w:trPr>
          <w:trHeight w:val="166"/>
        </w:trPr>
        <w:tc>
          <w:tcPr>
            <w:tcW w:w="4280" w:type="dxa"/>
            <w:vAlign w:val="bottom"/>
            <w:shd w:val="clear" w:color="auto" w:fill="CFF0FC"/>
          </w:tcPr>
          <w:p>
            <w:pPr>
              <w:ind w:left="20"/>
              <w:spacing w:after="0"/>
              <w:rPr>
                <w:sz w:val="20"/>
                <w:szCs w:val="20"/>
                <w:color w:val="auto"/>
              </w:rPr>
            </w:pPr>
            <w:r>
              <w:rPr>
                <w:rFonts w:ascii="Arial" w:cs="Arial" w:eastAsia="Arial" w:hAnsi="Arial"/>
                <w:sz w:val="11"/>
                <w:szCs w:val="11"/>
                <w:color w:val="auto"/>
              </w:rPr>
              <w:t>Stock-based compensation</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6,271</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ind w:left="9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ind w:left="880"/>
              <w:spacing w:after="0"/>
              <w:rPr>
                <w:sz w:val="20"/>
                <w:szCs w:val="20"/>
                <w:color w:val="auto"/>
              </w:rPr>
            </w:pPr>
            <w:r>
              <w:rPr>
                <w:rFonts w:ascii="Arial" w:cs="Arial" w:eastAsia="Arial" w:hAnsi="Arial"/>
                <w:sz w:val="10"/>
                <w:szCs w:val="10"/>
                <w:color w:val="auto"/>
              </w:rPr>
              <w:t>—</w:t>
            </w: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6,271</w:t>
            </w:r>
          </w:p>
        </w:tc>
        <w:tc>
          <w:tcPr>
            <w:tcW w:w="0" w:type="dxa"/>
            <w:vAlign w:val="bottom"/>
          </w:tcPr>
          <w:p>
            <w:pPr>
              <w:spacing w:after="0"/>
              <w:rPr>
                <w:sz w:val="1"/>
                <w:szCs w:val="1"/>
                <w:color w:val="auto"/>
              </w:rPr>
            </w:pPr>
          </w:p>
        </w:tc>
      </w:tr>
      <w:tr>
        <w:trPr>
          <w:trHeight w:val="152"/>
        </w:trPr>
        <w:tc>
          <w:tcPr>
            <w:tcW w:w="4280" w:type="dxa"/>
            <w:vAlign w:val="bottom"/>
          </w:tcPr>
          <w:p>
            <w:pPr>
              <w:ind w:left="20"/>
              <w:spacing w:after="0"/>
              <w:rPr>
                <w:sz w:val="20"/>
                <w:szCs w:val="20"/>
                <w:color w:val="auto"/>
              </w:rPr>
            </w:pPr>
            <w:r>
              <w:rPr>
                <w:rFonts w:ascii="Arial" w:cs="Arial" w:eastAsia="Arial" w:hAnsi="Arial"/>
                <w:sz w:val="11"/>
                <w:szCs w:val="11"/>
                <w:color w:val="auto"/>
              </w:rPr>
              <w:t>Comprehensive loss, net</w:t>
            </w:r>
          </w:p>
        </w:tc>
        <w:tc>
          <w:tcPr>
            <w:tcW w:w="9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(2,146)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ind w:left="88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(2,146)</w:t>
            </w:r>
          </w:p>
        </w:tc>
        <w:tc>
          <w:tcPr>
            <w:tcW w:w="0" w:type="dxa"/>
            <w:vAlign w:val="bottom"/>
          </w:tcPr>
          <w:p>
            <w:pPr>
              <w:spacing w:after="0"/>
              <w:rPr>
                <w:sz w:val="1"/>
                <w:szCs w:val="1"/>
                <w:color w:val="auto"/>
              </w:rPr>
            </w:pPr>
          </w:p>
        </w:tc>
      </w:tr>
      <w:tr>
        <w:trPr>
          <w:trHeight w:val="166"/>
        </w:trPr>
        <w:tc>
          <w:tcPr>
            <w:tcW w:w="4280" w:type="dxa"/>
            <w:vAlign w:val="bottom"/>
            <w:shd w:val="clear" w:color="auto" w:fill="CFF0FC"/>
          </w:tcPr>
          <w:p>
            <w:pPr>
              <w:ind w:left="20"/>
              <w:spacing w:after="0"/>
              <w:rPr>
                <w:sz w:val="20"/>
                <w:szCs w:val="20"/>
                <w:color w:val="auto"/>
              </w:rPr>
            </w:pPr>
            <w:r>
              <w:rPr>
                <w:rFonts w:ascii="Arial" w:cs="Arial" w:eastAsia="Arial" w:hAnsi="Arial"/>
                <w:sz w:val="11"/>
                <w:szCs w:val="11"/>
                <w:color w:val="auto"/>
              </w:rPr>
              <w:t>Net loss</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ind w:left="920"/>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(33,502)</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0"/>
                <w:szCs w:val="10"/>
                <w:color w:val="auto"/>
              </w:rPr>
              <w:t>(33,502)</w:t>
            </w:r>
          </w:p>
        </w:tc>
        <w:tc>
          <w:tcPr>
            <w:tcW w:w="0" w:type="dxa"/>
            <w:vAlign w:val="bottom"/>
          </w:tcPr>
          <w:p>
            <w:pPr>
              <w:spacing w:after="0"/>
              <w:rPr>
                <w:sz w:val="1"/>
                <w:szCs w:val="1"/>
                <w:color w:val="auto"/>
              </w:rPr>
            </w:pPr>
          </w:p>
        </w:tc>
      </w:tr>
      <w:tr>
        <w:trPr>
          <w:trHeight w:val="128"/>
        </w:trPr>
        <w:tc>
          <w:tcPr>
            <w:tcW w:w="4280" w:type="dxa"/>
            <w:vAlign w:val="bottom"/>
          </w:tcPr>
          <w:p>
            <w:pPr>
              <w:ind w:left="20"/>
              <w:spacing w:after="0"/>
              <w:rPr>
                <w:sz w:val="20"/>
                <w:szCs w:val="20"/>
                <w:color w:val="auto"/>
              </w:rPr>
            </w:pPr>
            <w:r>
              <w:rPr>
                <w:rFonts w:ascii="Arial" w:cs="Arial" w:eastAsia="Arial" w:hAnsi="Arial"/>
                <w:sz w:val="11"/>
                <w:szCs w:val="11"/>
                <w:b w:val="1"/>
                <w:bCs w:val="1"/>
                <w:color w:val="auto"/>
              </w:rPr>
              <w:t>Balance, September 30, 2022</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28,354</w:t>
            </w:r>
          </w:p>
        </w:tc>
        <w:tc>
          <w:tcPr>
            <w:tcW w:w="100" w:type="dxa"/>
            <w:vAlign w:val="bottom"/>
          </w:tcPr>
          <w:p>
            <w:pPr>
              <w:spacing w:after="0"/>
              <w:rPr>
                <w:sz w:val="11"/>
                <w:szCs w:val="11"/>
                <w:color w:val="auto"/>
              </w:rPr>
            </w:pPr>
          </w:p>
        </w:tc>
        <w:tc>
          <w:tcPr>
            <w:tcW w:w="2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28</w:t>
            </w:r>
          </w:p>
        </w:tc>
        <w:tc>
          <w:tcPr>
            <w:tcW w:w="100" w:type="dxa"/>
            <w:vAlign w:val="bottom"/>
          </w:tcPr>
          <w:p>
            <w:pPr>
              <w:spacing w:after="0"/>
              <w:rPr>
                <w:sz w:val="11"/>
                <w:szCs w:val="11"/>
                <w:color w:val="auto"/>
              </w:rPr>
            </w:pPr>
          </w:p>
        </w:tc>
        <w:tc>
          <w:tcPr>
            <w:tcW w:w="2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707,662</w:t>
            </w:r>
          </w:p>
        </w:tc>
        <w:tc>
          <w:tcPr>
            <w:tcW w:w="10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(6,007)</w:t>
            </w:r>
          </w:p>
        </w:tc>
        <w:tc>
          <w:tcPr>
            <w:tcW w:w="8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(424,064)</w:t>
            </w:r>
          </w:p>
        </w:tc>
        <w:tc>
          <w:tcPr>
            <w:tcW w:w="100" w:type="dxa"/>
            <w:vAlign w:val="bottom"/>
          </w:tcPr>
          <w:p>
            <w:pPr>
              <w:spacing w:after="0"/>
              <w:rPr>
                <w:sz w:val="11"/>
                <w:szCs w:val="11"/>
                <w:color w:val="auto"/>
              </w:rPr>
            </w:pPr>
          </w:p>
        </w:tc>
        <w:tc>
          <w:tcPr>
            <w:tcW w:w="2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277,619</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unaudited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AnaptysBio,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 of Stockholders’ 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4400" w:type="dxa"/>
            <w:vAlign w:val="bottom"/>
          </w:tcPr>
          <w:p>
            <w:pPr>
              <w:spacing w:after="0"/>
              <w:rPr>
                <w:sz w:val="10"/>
                <w:szCs w:val="1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8"/>
                <w:szCs w:val="8"/>
                <w:b w:val="1"/>
                <w:bCs w:val="1"/>
                <w:color w:val="auto"/>
              </w:rPr>
              <w:t>Common Stock</w:t>
            </w: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8"/>
                <w:szCs w:val="8"/>
                <w:b w:val="1"/>
                <w:bCs w:val="1"/>
                <w:color w:val="auto"/>
              </w:rPr>
              <w:t>Additional</w:t>
            </w: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jc w:val="center"/>
              <w:ind w:right="152"/>
              <w:spacing w:after="0"/>
              <w:rPr>
                <w:sz w:val="20"/>
                <w:szCs w:val="20"/>
                <w:color w:val="auto"/>
              </w:rPr>
            </w:pPr>
            <w:r>
              <w:rPr>
                <w:rFonts w:ascii="Arial" w:cs="Arial" w:eastAsia="Arial" w:hAnsi="Arial"/>
                <w:sz w:val="8"/>
                <w:szCs w:val="8"/>
                <w:b w:val="1"/>
                <w:bCs w:val="1"/>
                <w:color w:val="auto"/>
                <w:w w:val="93"/>
              </w:rPr>
              <w:t>Total</w:t>
            </w:r>
          </w:p>
        </w:tc>
        <w:tc>
          <w:tcPr>
            <w:tcW w:w="0" w:type="dxa"/>
            <w:vAlign w:val="bottom"/>
          </w:tcPr>
          <w:p>
            <w:pPr>
              <w:spacing w:after="0"/>
              <w:rPr>
                <w:sz w:val="1"/>
                <w:szCs w:val="1"/>
                <w:color w:val="auto"/>
              </w:rPr>
            </w:pPr>
          </w:p>
        </w:tc>
      </w:tr>
      <w:tr>
        <w:trPr>
          <w:trHeight w:val="65"/>
        </w:trPr>
        <w:tc>
          <w:tcPr>
            <w:tcW w:w="4400" w:type="dxa"/>
            <w:vAlign w:val="bottom"/>
          </w:tcPr>
          <w:p>
            <w:pPr>
              <w:spacing w:after="0"/>
              <w:rPr>
                <w:sz w:val="5"/>
                <w:szCs w:val="5"/>
                <w:color w:val="auto"/>
              </w:rPr>
            </w:pPr>
          </w:p>
        </w:tc>
        <w:tc>
          <w:tcPr>
            <w:tcW w:w="900" w:type="dxa"/>
            <w:vAlign w:val="bottom"/>
            <w:gridSpan w:val="2"/>
            <w:vMerge w:val="restart"/>
          </w:tcPr>
          <w:p>
            <w:pPr>
              <w:ind w:left="280"/>
              <w:spacing w:after="0"/>
              <w:rPr>
                <w:sz w:val="20"/>
                <w:szCs w:val="20"/>
                <w:color w:val="auto"/>
              </w:rPr>
            </w:pPr>
            <w:r>
              <w:rPr>
                <w:rFonts w:ascii="Arial" w:cs="Arial" w:eastAsia="Arial" w:hAnsi="Arial"/>
                <w:sz w:val="8"/>
                <w:szCs w:val="8"/>
                <w:b w:val="1"/>
                <w:bCs w:val="1"/>
                <w:color w:val="auto"/>
              </w:rPr>
              <w:t>Shares</w:t>
            </w:r>
          </w:p>
        </w:tc>
        <w:tc>
          <w:tcPr>
            <w:tcW w:w="240" w:type="dxa"/>
            <w:vAlign w:val="bottom"/>
          </w:tcPr>
          <w:p>
            <w:pPr>
              <w:spacing w:after="0"/>
              <w:rPr>
                <w:sz w:val="5"/>
                <w:szCs w:val="5"/>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8"/>
                <w:szCs w:val="8"/>
                <w:b w:val="1"/>
                <w:bCs w:val="1"/>
                <w:color w:val="auto"/>
              </w:rPr>
              <w:t>Amount</w:t>
            </w:r>
          </w:p>
        </w:tc>
        <w:tc>
          <w:tcPr>
            <w:tcW w:w="240" w:type="dxa"/>
            <w:vAlign w:val="bottom"/>
          </w:tcPr>
          <w:p>
            <w:pPr>
              <w:spacing w:after="0"/>
              <w:rPr>
                <w:sz w:val="5"/>
                <w:szCs w:val="5"/>
                <w:color w:val="auto"/>
              </w:rPr>
            </w:pPr>
          </w:p>
        </w:tc>
        <w:tc>
          <w:tcPr>
            <w:tcW w:w="1060" w:type="dxa"/>
            <w:vAlign w:val="bottom"/>
            <w:gridSpan w:val="2"/>
          </w:tcPr>
          <w:p>
            <w:pPr>
              <w:jc w:val="center"/>
              <w:ind w:right="340"/>
              <w:spacing w:after="0" w:line="65" w:lineRule="exact"/>
              <w:rPr>
                <w:sz w:val="20"/>
                <w:szCs w:val="20"/>
                <w:color w:val="auto"/>
              </w:rPr>
            </w:pPr>
            <w:r>
              <w:rPr>
                <w:rFonts w:ascii="Arial" w:cs="Arial" w:eastAsia="Arial" w:hAnsi="Arial"/>
                <w:sz w:val="7"/>
                <w:szCs w:val="7"/>
                <w:b w:val="1"/>
                <w:bCs w:val="1"/>
                <w:color w:val="auto"/>
              </w:rPr>
              <w:t>Paid-in</w:t>
            </w:r>
          </w:p>
        </w:tc>
        <w:tc>
          <w:tcPr>
            <w:tcW w:w="140" w:type="dxa"/>
            <w:vAlign w:val="bottom"/>
          </w:tcPr>
          <w:p>
            <w:pPr>
              <w:spacing w:after="0"/>
              <w:rPr>
                <w:sz w:val="5"/>
                <w:szCs w:val="5"/>
                <w:color w:val="auto"/>
              </w:rPr>
            </w:pPr>
          </w:p>
        </w:tc>
        <w:tc>
          <w:tcPr>
            <w:tcW w:w="1140" w:type="dxa"/>
            <w:vAlign w:val="bottom"/>
            <w:gridSpan w:val="2"/>
          </w:tcPr>
          <w:p>
            <w:pPr>
              <w:ind w:left="100"/>
              <w:spacing w:after="0" w:line="65" w:lineRule="exact"/>
              <w:rPr>
                <w:sz w:val="20"/>
                <w:szCs w:val="20"/>
                <w:color w:val="auto"/>
              </w:rPr>
            </w:pPr>
            <w:r>
              <w:rPr>
                <w:rFonts w:ascii="Arial" w:cs="Arial" w:eastAsia="Arial" w:hAnsi="Arial"/>
                <w:sz w:val="7"/>
                <w:szCs w:val="7"/>
                <w:b w:val="1"/>
                <w:bCs w:val="1"/>
                <w:color w:val="auto"/>
              </w:rPr>
              <w:t>Accumulated Other</w:t>
            </w:r>
          </w:p>
        </w:tc>
        <w:tc>
          <w:tcPr>
            <w:tcW w:w="220" w:type="dxa"/>
            <w:vAlign w:val="bottom"/>
          </w:tcPr>
          <w:p>
            <w:pPr>
              <w:spacing w:after="0"/>
              <w:rPr>
                <w:sz w:val="5"/>
                <w:szCs w:val="5"/>
                <w:color w:val="auto"/>
              </w:rPr>
            </w:pPr>
          </w:p>
        </w:tc>
        <w:tc>
          <w:tcPr>
            <w:tcW w:w="1080" w:type="dxa"/>
            <w:vAlign w:val="bottom"/>
            <w:gridSpan w:val="2"/>
          </w:tcPr>
          <w:p>
            <w:pPr>
              <w:ind w:left="140"/>
              <w:spacing w:after="0" w:line="65" w:lineRule="exact"/>
              <w:rPr>
                <w:sz w:val="20"/>
                <w:szCs w:val="20"/>
                <w:color w:val="auto"/>
              </w:rPr>
            </w:pPr>
            <w:r>
              <w:rPr>
                <w:rFonts w:ascii="Arial" w:cs="Arial" w:eastAsia="Arial" w:hAnsi="Arial"/>
                <w:sz w:val="7"/>
                <w:szCs w:val="7"/>
                <w:b w:val="1"/>
                <w:bCs w:val="1"/>
                <w:color w:val="auto"/>
              </w:rPr>
              <w:t>Accumulated</w:t>
            </w:r>
          </w:p>
        </w:tc>
        <w:tc>
          <w:tcPr>
            <w:tcW w:w="220" w:type="dxa"/>
            <w:vAlign w:val="bottom"/>
          </w:tcPr>
          <w:p>
            <w:pPr>
              <w:spacing w:after="0"/>
              <w:rPr>
                <w:sz w:val="5"/>
                <w:szCs w:val="5"/>
                <w:color w:val="auto"/>
              </w:rPr>
            </w:pPr>
          </w:p>
        </w:tc>
        <w:tc>
          <w:tcPr>
            <w:tcW w:w="980" w:type="dxa"/>
            <w:vAlign w:val="bottom"/>
          </w:tcPr>
          <w:p>
            <w:pPr>
              <w:jc w:val="center"/>
              <w:ind w:right="152"/>
              <w:spacing w:after="0" w:line="65" w:lineRule="exact"/>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117"/>
        </w:trPr>
        <w:tc>
          <w:tcPr>
            <w:tcW w:w="44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8"/>
                <w:szCs w:val="8"/>
                <w:b w:val="1"/>
                <w:bCs w:val="1"/>
                <w:color w:val="auto"/>
              </w:rPr>
              <w:t>Capital</w:t>
            </w:r>
          </w:p>
        </w:tc>
        <w:tc>
          <w:tcPr>
            <w:tcW w:w="140" w:type="dxa"/>
            <w:vAlign w:val="bottom"/>
          </w:tcPr>
          <w:p>
            <w:pPr>
              <w:spacing w:after="0"/>
              <w:rPr>
                <w:sz w:val="10"/>
                <w:szCs w:val="10"/>
                <w:color w:val="auto"/>
              </w:rPr>
            </w:pPr>
          </w:p>
        </w:tc>
        <w:tc>
          <w:tcPr>
            <w:tcW w:w="1140" w:type="dxa"/>
            <w:vAlign w:val="bottom"/>
            <w:gridSpan w:val="2"/>
          </w:tcPr>
          <w:p>
            <w:pPr>
              <w:ind w:left="80"/>
              <w:spacing w:after="0"/>
              <w:rPr>
                <w:sz w:val="20"/>
                <w:szCs w:val="20"/>
                <w:color w:val="auto"/>
              </w:rPr>
            </w:pPr>
            <w:r>
              <w:rPr>
                <w:rFonts w:ascii="Arial" w:cs="Arial" w:eastAsia="Arial" w:hAnsi="Arial"/>
                <w:sz w:val="8"/>
                <w:szCs w:val="8"/>
                <w:b w:val="1"/>
                <w:bCs w:val="1"/>
                <w:color w:val="auto"/>
              </w:rPr>
              <w:t>Comprehensive Loss</w:t>
            </w:r>
          </w:p>
        </w:tc>
        <w:tc>
          <w:tcPr>
            <w:tcW w:w="220" w:type="dxa"/>
            <w:vAlign w:val="bottom"/>
          </w:tcPr>
          <w:p>
            <w:pPr>
              <w:spacing w:after="0"/>
              <w:rPr>
                <w:sz w:val="10"/>
                <w:szCs w:val="10"/>
                <w:color w:val="auto"/>
              </w:rPr>
            </w:pPr>
          </w:p>
        </w:tc>
        <w:tc>
          <w:tcPr>
            <w:tcW w:w="1080" w:type="dxa"/>
            <w:vAlign w:val="bottom"/>
            <w:gridSpan w:val="2"/>
          </w:tcPr>
          <w:p>
            <w:pPr>
              <w:ind w:left="260"/>
              <w:spacing w:after="0"/>
              <w:rPr>
                <w:sz w:val="20"/>
                <w:szCs w:val="20"/>
                <w:color w:val="auto"/>
              </w:rPr>
            </w:pPr>
            <w:r>
              <w:rPr>
                <w:rFonts w:ascii="Arial" w:cs="Arial" w:eastAsia="Arial" w:hAnsi="Arial"/>
                <w:sz w:val="8"/>
                <w:szCs w:val="8"/>
                <w:b w:val="1"/>
                <w:bCs w:val="1"/>
                <w:color w:val="auto"/>
              </w:rPr>
              <w:t>Deficit</w:t>
            </w:r>
          </w:p>
        </w:tc>
        <w:tc>
          <w:tcPr>
            <w:tcW w:w="220" w:type="dxa"/>
            <w:vAlign w:val="bottom"/>
          </w:tcPr>
          <w:p>
            <w:pPr>
              <w:spacing w:after="0"/>
              <w:rPr>
                <w:sz w:val="10"/>
                <w:szCs w:val="10"/>
                <w:color w:val="auto"/>
              </w:rPr>
            </w:pPr>
          </w:p>
        </w:tc>
        <w:tc>
          <w:tcPr>
            <w:tcW w:w="980" w:type="dxa"/>
            <w:vAlign w:val="bottom"/>
          </w:tcPr>
          <w:p>
            <w:pPr>
              <w:jc w:val="center"/>
              <w:ind w:right="172"/>
              <w:spacing w:after="0"/>
              <w:rPr>
                <w:sz w:val="20"/>
                <w:szCs w:val="20"/>
                <w:color w:val="auto"/>
              </w:rPr>
            </w:pPr>
            <w:r>
              <w:rPr>
                <w:rFonts w:ascii="Arial" w:cs="Arial" w:eastAsia="Arial" w:hAnsi="Arial"/>
                <w:sz w:val="8"/>
                <w:szCs w:val="8"/>
                <w:b w:val="1"/>
                <w:bCs w:val="1"/>
                <w:color w:val="auto"/>
                <w:w w:val="97"/>
              </w:rPr>
              <w:t>Equity</w:t>
            </w:r>
          </w:p>
        </w:tc>
        <w:tc>
          <w:tcPr>
            <w:tcW w:w="0" w:type="dxa"/>
            <w:vAlign w:val="bottom"/>
          </w:tcPr>
          <w:p>
            <w:pPr>
              <w:spacing w:after="0"/>
              <w:rPr>
                <w:sz w:val="1"/>
                <w:szCs w:val="1"/>
                <w:color w:val="auto"/>
              </w:rPr>
            </w:pPr>
          </w:p>
        </w:tc>
      </w:tr>
      <w:tr>
        <w:trPr>
          <w:trHeight w:val="148"/>
        </w:trPr>
        <w:tc>
          <w:tcPr>
            <w:tcW w:w="44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Balance, December 31, 2020</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27,356</w:t>
            </w:r>
          </w:p>
        </w:tc>
        <w:tc>
          <w:tcPr>
            <w:tcW w:w="1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ind w:right="131"/>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27</w:t>
            </w:r>
          </w:p>
        </w:tc>
        <w:tc>
          <w:tcPr>
            <w:tcW w:w="1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jc w:val="right"/>
              <w:ind w:right="131"/>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660,665</w:t>
            </w:r>
          </w:p>
        </w:tc>
        <w:tc>
          <w:tcPr>
            <w:tcW w:w="1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(4)</w:t>
            </w:r>
          </w:p>
        </w:tc>
        <w:tc>
          <w:tcPr>
            <w:tcW w:w="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jc w:val="right"/>
              <w:ind w:right="91"/>
              <w:spacing w:after="0"/>
              <w:rPr>
                <w:sz w:val="20"/>
                <w:szCs w:val="20"/>
                <w:color w:val="auto"/>
              </w:rPr>
            </w:pPr>
            <w:r>
              <w:rPr>
                <w:rFonts w:ascii="Arial" w:cs="Arial" w:eastAsia="Arial" w:hAnsi="Arial"/>
                <w:sz w:val="10"/>
                <w:szCs w:val="10"/>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(263,957)</w:t>
            </w:r>
          </w:p>
        </w:tc>
        <w:tc>
          <w:tcPr>
            <w:tcW w:w="10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jc w:val="right"/>
              <w:ind w:right="11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396,731</w:t>
            </w:r>
          </w:p>
        </w:tc>
        <w:tc>
          <w:tcPr>
            <w:tcW w:w="0" w:type="dxa"/>
            <w:vAlign w:val="bottom"/>
          </w:tcPr>
          <w:p>
            <w:pPr>
              <w:spacing w:after="0"/>
              <w:rPr>
                <w:sz w:val="1"/>
                <w:szCs w:val="1"/>
                <w:color w:val="auto"/>
              </w:rPr>
            </w:pPr>
          </w:p>
        </w:tc>
      </w:tr>
      <w:tr>
        <w:trPr>
          <w:trHeight w:val="152"/>
        </w:trPr>
        <w:tc>
          <w:tcPr>
            <w:tcW w:w="4400" w:type="dxa"/>
            <w:vAlign w:val="bottom"/>
          </w:tcPr>
          <w:p>
            <w:pPr>
              <w:ind w:left="80"/>
              <w:spacing w:after="0"/>
              <w:rPr>
                <w:sz w:val="20"/>
                <w:szCs w:val="20"/>
                <w:color w:val="auto"/>
              </w:rPr>
            </w:pPr>
            <w:r>
              <w:rPr>
                <w:rFonts w:ascii="Arial" w:cs="Arial" w:eastAsia="Arial" w:hAnsi="Arial"/>
                <w:sz w:val="11"/>
                <w:szCs w:val="11"/>
                <w:color w:val="auto"/>
              </w:rPr>
              <w:t>Shares issued under employee stock plans</w:t>
            </w:r>
          </w:p>
        </w:tc>
        <w:tc>
          <w:tcPr>
            <w:tcW w:w="800" w:type="dxa"/>
            <w:vAlign w:val="bottom"/>
          </w:tcPr>
          <w:p>
            <w:pPr>
              <w:jc w:val="right"/>
              <w:spacing w:after="0"/>
              <w:rPr>
                <w:sz w:val="20"/>
                <w:szCs w:val="20"/>
                <w:color w:val="auto"/>
              </w:rPr>
            </w:pPr>
            <w:r>
              <w:rPr>
                <w:rFonts w:ascii="Arial" w:cs="Arial" w:eastAsia="Arial" w:hAnsi="Arial"/>
                <w:sz w:val="10"/>
                <w:szCs w:val="10"/>
                <w:color w:val="auto"/>
              </w:rPr>
              <w:t>11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167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90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3"/>
                <w:szCs w:val="13"/>
                <w:color w:val="auto"/>
              </w:rPr>
            </w:pPr>
          </w:p>
        </w:tc>
        <w:tc>
          <w:tcPr>
            <w:tcW w:w="1080" w:type="dxa"/>
            <w:vAlign w:val="bottom"/>
            <w:gridSpan w:val="2"/>
          </w:tcPr>
          <w:p>
            <w:pPr>
              <w:ind w:left="8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167</w:t>
            </w:r>
          </w:p>
        </w:tc>
        <w:tc>
          <w:tcPr>
            <w:tcW w:w="0" w:type="dxa"/>
            <w:vAlign w:val="bottom"/>
          </w:tcPr>
          <w:p>
            <w:pPr>
              <w:spacing w:after="0"/>
              <w:rPr>
                <w:sz w:val="1"/>
                <w:szCs w:val="1"/>
                <w:color w:val="auto"/>
              </w:rPr>
            </w:pPr>
          </w:p>
        </w:tc>
      </w:tr>
      <w:tr>
        <w:trPr>
          <w:trHeight w:val="166"/>
        </w:trPr>
        <w:tc>
          <w:tcPr>
            <w:tcW w:w="4400" w:type="dxa"/>
            <w:vAlign w:val="bottom"/>
            <w:shd w:val="clear" w:color="auto" w:fill="CFF0FC"/>
          </w:tcPr>
          <w:p>
            <w:pPr>
              <w:ind w:left="80"/>
              <w:spacing w:after="0"/>
              <w:rPr>
                <w:sz w:val="20"/>
                <w:szCs w:val="20"/>
                <w:color w:val="auto"/>
              </w:rPr>
            </w:pPr>
            <w:r>
              <w:rPr>
                <w:rFonts w:ascii="Arial" w:cs="Arial" w:eastAsia="Arial" w:hAnsi="Arial"/>
                <w:sz w:val="11"/>
                <w:szCs w:val="11"/>
                <w:color w:val="auto"/>
              </w:rPr>
              <w:t>Stock-based compensation</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3,315</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ind w:left="900"/>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ind w:left="8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3,315</w:t>
            </w:r>
          </w:p>
        </w:tc>
        <w:tc>
          <w:tcPr>
            <w:tcW w:w="0" w:type="dxa"/>
            <w:vAlign w:val="bottom"/>
          </w:tcPr>
          <w:p>
            <w:pPr>
              <w:spacing w:after="0"/>
              <w:rPr>
                <w:sz w:val="1"/>
                <w:szCs w:val="1"/>
                <w:color w:val="auto"/>
              </w:rPr>
            </w:pPr>
          </w:p>
        </w:tc>
      </w:tr>
      <w:tr>
        <w:trPr>
          <w:trHeight w:val="152"/>
        </w:trPr>
        <w:tc>
          <w:tcPr>
            <w:tcW w:w="4400" w:type="dxa"/>
            <w:vAlign w:val="bottom"/>
          </w:tcPr>
          <w:p>
            <w:pPr>
              <w:ind w:left="20"/>
              <w:spacing w:after="0"/>
              <w:rPr>
                <w:sz w:val="20"/>
                <w:szCs w:val="20"/>
                <w:color w:val="auto"/>
              </w:rPr>
            </w:pPr>
            <w:r>
              <w:rPr>
                <w:rFonts w:ascii="Arial" w:cs="Arial" w:eastAsia="Arial" w:hAnsi="Arial"/>
                <w:sz w:val="11"/>
                <w:szCs w:val="11"/>
                <w:color w:val="auto"/>
              </w:rPr>
              <w:t>Comprehensive loss, net</w:t>
            </w:r>
          </w:p>
        </w:tc>
        <w:tc>
          <w:tcPr>
            <w:tcW w:w="9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(107)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ind w:left="8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(107)</w:t>
            </w:r>
          </w:p>
        </w:tc>
        <w:tc>
          <w:tcPr>
            <w:tcW w:w="0" w:type="dxa"/>
            <w:vAlign w:val="bottom"/>
          </w:tcPr>
          <w:p>
            <w:pPr>
              <w:spacing w:after="0"/>
              <w:rPr>
                <w:sz w:val="1"/>
                <w:szCs w:val="1"/>
                <w:color w:val="auto"/>
              </w:rPr>
            </w:pPr>
          </w:p>
        </w:tc>
      </w:tr>
      <w:tr>
        <w:trPr>
          <w:trHeight w:val="166"/>
        </w:trPr>
        <w:tc>
          <w:tcPr>
            <w:tcW w:w="4400" w:type="dxa"/>
            <w:vAlign w:val="bottom"/>
            <w:shd w:val="clear" w:color="auto" w:fill="CFF0FC"/>
          </w:tcPr>
          <w:p>
            <w:pPr>
              <w:ind w:left="80"/>
              <w:spacing w:after="0"/>
              <w:rPr>
                <w:sz w:val="20"/>
                <w:szCs w:val="20"/>
                <w:color w:val="auto"/>
              </w:rPr>
            </w:pPr>
            <w:r>
              <w:rPr>
                <w:rFonts w:ascii="Arial" w:cs="Arial" w:eastAsia="Arial" w:hAnsi="Arial"/>
                <w:sz w:val="11"/>
                <w:szCs w:val="11"/>
                <w:color w:val="auto"/>
              </w:rPr>
              <w:t>Net loss</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ind w:left="900"/>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(18,163)</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(18,163)</w:t>
            </w:r>
          </w:p>
        </w:tc>
        <w:tc>
          <w:tcPr>
            <w:tcW w:w="0" w:type="dxa"/>
            <w:vAlign w:val="bottom"/>
          </w:tcPr>
          <w:p>
            <w:pPr>
              <w:spacing w:after="0"/>
              <w:rPr>
                <w:sz w:val="1"/>
                <w:szCs w:val="1"/>
                <w:color w:val="auto"/>
              </w:rPr>
            </w:pPr>
          </w:p>
        </w:tc>
      </w:tr>
      <w:tr>
        <w:trPr>
          <w:trHeight w:val="133"/>
        </w:trPr>
        <w:tc>
          <w:tcPr>
            <w:tcW w:w="4400" w:type="dxa"/>
            <w:vAlign w:val="bottom"/>
            <w:tcBorders>
              <w:bottom w:val="single" w:sz="8" w:color="CFF0FC"/>
            </w:tcBorders>
          </w:tcPr>
          <w:p>
            <w:pPr>
              <w:ind w:left="20"/>
              <w:spacing w:after="0"/>
              <w:rPr>
                <w:sz w:val="20"/>
                <w:szCs w:val="20"/>
                <w:color w:val="auto"/>
              </w:rPr>
            </w:pPr>
            <w:r>
              <w:rPr>
                <w:rFonts w:ascii="Arial" w:cs="Arial" w:eastAsia="Arial" w:hAnsi="Arial"/>
                <w:sz w:val="11"/>
                <w:szCs w:val="11"/>
                <w:b w:val="1"/>
                <w:bCs w:val="1"/>
                <w:color w:val="auto"/>
              </w:rPr>
              <w:t>Balance, March 31, 2021</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27,367</w:t>
            </w:r>
          </w:p>
        </w:tc>
        <w:tc>
          <w:tcPr>
            <w:tcW w:w="100" w:type="dxa"/>
            <w:vAlign w:val="bottom"/>
            <w:tcBorders>
              <w:bottom w:val="single" w:sz="8" w:color="CFF0FC"/>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27</w:t>
            </w:r>
          </w:p>
        </w:tc>
        <w:tc>
          <w:tcPr>
            <w:tcW w:w="100" w:type="dxa"/>
            <w:vAlign w:val="bottom"/>
            <w:tcBorders>
              <w:bottom w:val="single" w:sz="8" w:color="CFF0FC"/>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664,147</w:t>
            </w:r>
          </w:p>
        </w:tc>
        <w:tc>
          <w:tcPr>
            <w:tcW w:w="100" w:type="dxa"/>
            <w:vAlign w:val="bottom"/>
            <w:tcBorders>
              <w:bottom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(111)</w:t>
            </w:r>
          </w:p>
        </w:tc>
        <w:tc>
          <w:tcPr>
            <w:tcW w:w="80" w:type="dxa"/>
            <w:vAlign w:val="bottom"/>
            <w:tcBorders>
              <w:bottom w:val="single" w:sz="8" w:color="CFF0FC"/>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(282,120)</w:t>
            </w:r>
          </w:p>
        </w:tc>
        <w:tc>
          <w:tcPr>
            <w:tcW w:w="100" w:type="dxa"/>
            <w:vAlign w:val="bottom"/>
            <w:tcBorders>
              <w:bottom w:val="single" w:sz="8" w:color="CFF0FC"/>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381,943</w:t>
            </w:r>
          </w:p>
        </w:tc>
        <w:tc>
          <w:tcPr>
            <w:tcW w:w="0" w:type="dxa"/>
            <w:vAlign w:val="bottom"/>
          </w:tcPr>
          <w:p>
            <w:pPr>
              <w:spacing w:after="0"/>
              <w:rPr>
                <w:sz w:val="1"/>
                <w:szCs w:val="1"/>
                <w:color w:val="auto"/>
              </w:rPr>
            </w:pPr>
          </w:p>
        </w:tc>
      </w:tr>
      <w:tr>
        <w:trPr>
          <w:trHeight w:val="145"/>
        </w:trPr>
        <w:tc>
          <w:tcPr>
            <w:tcW w:w="4400" w:type="dxa"/>
            <w:vAlign w:val="bottom"/>
            <w:shd w:val="clear" w:color="auto" w:fill="CFF0FC"/>
          </w:tcPr>
          <w:p>
            <w:pPr>
              <w:ind w:left="80"/>
              <w:spacing w:after="0"/>
              <w:rPr>
                <w:sz w:val="20"/>
                <w:szCs w:val="20"/>
                <w:color w:val="auto"/>
              </w:rPr>
            </w:pPr>
            <w:r>
              <w:rPr>
                <w:rFonts w:ascii="Arial" w:cs="Arial" w:eastAsia="Arial" w:hAnsi="Arial"/>
                <w:sz w:val="11"/>
                <w:szCs w:val="11"/>
                <w:color w:val="auto"/>
              </w:rPr>
              <w:t>Shares issued under employee stock plans</w:t>
            </w:r>
          </w:p>
        </w:tc>
        <w:tc>
          <w:tcPr>
            <w:tcW w:w="800" w:type="dxa"/>
            <w:vAlign w:val="bottom"/>
            <w:shd w:val="clear" w:color="auto" w:fill="CFF0FC"/>
          </w:tcPr>
          <w:p>
            <w:pPr>
              <w:jc w:val="right"/>
              <w:spacing w:after="0"/>
              <w:rPr>
                <w:sz w:val="20"/>
                <w:szCs w:val="20"/>
                <w:color w:val="auto"/>
              </w:rPr>
            </w:pPr>
            <w:r>
              <w:rPr>
                <w:rFonts w:ascii="Arial" w:cs="Arial" w:eastAsia="Arial" w:hAnsi="Arial"/>
                <w:sz w:val="10"/>
                <w:szCs w:val="10"/>
                <w:color w:val="auto"/>
              </w:rPr>
              <w:t>66</w:t>
            </w: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592</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ind w:left="900"/>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2"/>
                <w:szCs w:val="12"/>
                <w:color w:val="auto"/>
              </w:rPr>
            </w:pPr>
          </w:p>
        </w:tc>
        <w:tc>
          <w:tcPr>
            <w:tcW w:w="1080" w:type="dxa"/>
            <w:vAlign w:val="bottom"/>
            <w:gridSpan w:val="2"/>
            <w:shd w:val="clear" w:color="auto" w:fill="CFF0FC"/>
          </w:tcPr>
          <w:p>
            <w:pPr>
              <w:ind w:left="8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592</w:t>
            </w:r>
          </w:p>
        </w:tc>
        <w:tc>
          <w:tcPr>
            <w:tcW w:w="0" w:type="dxa"/>
            <w:vAlign w:val="bottom"/>
          </w:tcPr>
          <w:p>
            <w:pPr>
              <w:spacing w:after="0"/>
              <w:rPr>
                <w:sz w:val="1"/>
                <w:szCs w:val="1"/>
                <w:color w:val="auto"/>
              </w:rPr>
            </w:pPr>
          </w:p>
        </w:tc>
      </w:tr>
      <w:tr>
        <w:trPr>
          <w:trHeight w:val="152"/>
        </w:trPr>
        <w:tc>
          <w:tcPr>
            <w:tcW w:w="4400" w:type="dxa"/>
            <w:vAlign w:val="bottom"/>
          </w:tcPr>
          <w:p>
            <w:pPr>
              <w:ind w:left="80"/>
              <w:spacing w:after="0"/>
              <w:rPr>
                <w:sz w:val="20"/>
                <w:szCs w:val="20"/>
                <w:color w:val="auto"/>
              </w:rPr>
            </w:pPr>
            <w:r>
              <w:rPr>
                <w:rFonts w:ascii="Arial" w:cs="Arial" w:eastAsia="Arial" w:hAnsi="Arial"/>
                <w:sz w:val="11"/>
                <w:szCs w:val="11"/>
                <w:color w:val="auto"/>
              </w:rPr>
              <w:t>Stock-based compensation</w:t>
            </w:r>
          </w:p>
        </w:tc>
        <w:tc>
          <w:tcPr>
            <w:tcW w:w="9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3,690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90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3"/>
                <w:szCs w:val="13"/>
                <w:color w:val="auto"/>
              </w:rPr>
            </w:pPr>
          </w:p>
        </w:tc>
        <w:tc>
          <w:tcPr>
            <w:tcW w:w="1080" w:type="dxa"/>
            <w:vAlign w:val="bottom"/>
            <w:gridSpan w:val="2"/>
          </w:tcPr>
          <w:p>
            <w:pPr>
              <w:ind w:left="8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3,690</w:t>
            </w:r>
          </w:p>
        </w:tc>
        <w:tc>
          <w:tcPr>
            <w:tcW w:w="0" w:type="dxa"/>
            <w:vAlign w:val="bottom"/>
          </w:tcPr>
          <w:p>
            <w:pPr>
              <w:spacing w:after="0"/>
              <w:rPr>
                <w:sz w:val="1"/>
                <w:szCs w:val="1"/>
                <w:color w:val="auto"/>
              </w:rPr>
            </w:pPr>
          </w:p>
        </w:tc>
      </w:tr>
      <w:tr>
        <w:trPr>
          <w:trHeight w:val="166"/>
        </w:trPr>
        <w:tc>
          <w:tcPr>
            <w:tcW w:w="4400" w:type="dxa"/>
            <w:vAlign w:val="bottom"/>
            <w:shd w:val="clear" w:color="auto" w:fill="CFF0FC"/>
          </w:tcPr>
          <w:p>
            <w:pPr>
              <w:ind w:left="20"/>
              <w:spacing w:after="0"/>
              <w:rPr>
                <w:sz w:val="20"/>
                <w:szCs w:val="20"/>
                <w:color w:val="auto"/>
              </w:rPr>
            </w:pPr>
            <w:r>
              <w:rPr>
                <w:rFonts w:ascii="Arial" w:cs="Arial" w:eastAsia="Arial" w:hAnsi="Arial"/>
                <w:sz w:val="11"/>
                <w:szCs w:val="11"/>
                <w:color w:val="auto"/>
              </w:rPr>
              <w:t>Comprehensive loss, net</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(65)</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ind w:left="8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(65)</w:t>
            </w:r>
          </w:p>
        </w:tc>
        <w:tc>
          <w:tcPr>
            <w:tcW w:w="0" w:type="dxa"/>
            <w:vAlign w:val="bottom"/>
          </w:tcPr>
          <w:p>
            <w:pPr>
              <w:spacing w:after="0"/>
              <w:rPr>
                <w:sz w:val="1"/>
                <w:szCs w:val="1"/>
                <w:color w:val="auto"/>
              </w:rPr>
            </w:pPr>
          </w:p>
        </w:tc>
      </w:tr>
      <w:tr>
        <w:trPr>
          <w:trHeight w:val="152"/>
        </w:trPr>
        <w:tc>
          <w:tcPr>
            <w:tcW w:w="4400" w:type="dxa"/>
            <w:vAlign w:val="bottom"/>
          </w:tcPr>
          <w:p>
            <w:pPr>
              <w:ind w:left="80"/>
              <w:spacing w:after="0"/>
              <w:rPr>
                <w:sz w:val="20"/>
                <w:szCs w:val="20"/>
                <w:color w:val="auto"/>
              </w:rPr>
            </w:pPr>
            <w:r>
              <w:rPr>
                <w:rFonts w:ascii="Arial" w:cs="Arial" w:eastAsia="Arial" w:hAnsi="Arial"/>
                <w:sz w:val="11"/>
                <w:szCs w:val="11"/>
                <w:color w:val="auto"/>
              </w:rPr>
              <w:t>Net loss</w:t>
            </w:r>
          </w:p>
        </w:tc>
        <w:tc>
          <w:tcPr>
            <w:tcW w:w="9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1140" w:type="dxa"/>
            <w:vAlign w:val="bottom"/>
            <w:gridSpan w:val="2"/>
          </w:tcPr>
          <w:p>
            <w:pPr>
              <w:ind w:left="90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(429)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(429)</w:t>
            </w:r>
          </w:p>
        </w:tc>
        <w:tc>
          <w:tcPr>
            <w:tcW w:w="0" w:type="dxa"/>
            <w:vAlign w:val="bottom"/>
          </w:tcPr>
          <w:p>
            <w:pPr>
              <w:spacing w:after="0"/>
              <w:rPr>
                <w:sz w:val="1"/>
                <w:szCs w:val="1"/>
                <w:color w:val="auto"/>
              </w:rPr>
            </w:pPr>
          </w:p>
        </w:tc>
      </w:tr>
      <w:tr>
        <w:trPr>
          <w:trHeight w:val="146"/>
        </w:trPr>
        <w:tc>
          <w:tcPr>
            <w:tcW w:w="44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Balance, June 30, 2021</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27,433</w:t>
            </w:r>
          </w:p>
        </w:tc>
        <w:tc>
          <w:tcPr>
            <w:tcW w:w="1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27</w:t>
            </w:r>
          </w:p>
        </w:tc>
        <w:tc>
          <w:tcPr>
            <w:tcW w:w="1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bottom w:val="single" w:sz="8" w:color="auto"/>
            </w:tcBorders>
            <w:shd w:val="clear" w:color="auto" w:fill="CFF0FC"/>
          </w:tcPr>
          <w:p>
            <w:pPr>
              <w:spacing w:after="0"/>
              <w:rPr>
                <w:sz w:val="12"/>
                <w:szCs w:val="12"/>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668,429</w:t>
            </w:r>
          </w:p>
        </w:tc>
        <w:tc>
          <w:tcPr>
            <w:tcW w:w="1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(176)</w:t>
            </w:r>
          </w:p>
        </w:tc>
        <w:tc>
          <w:tcPr>
            <w:tcW w:w="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spacing w:after="0"/>
              <w:rPr>
                <w:sz w:val="12"/>
                <w:szCs w:val="12"/>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(282,549)</w:t>
            </w:r>
          </w:p>
        </w:tc>
        <w:tc>
          <w:tcPr>
            <w:tcW w:w="10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spacing w:after="0"/>
              <w:rPr>
                <w:sz w:val="12"/>
                <w:szCs w:val="12"/>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rPr>
              <w:t>385,731</w:t>
            </w:r>
          </w:p>
        </w:tc>
        <w:tc>
          <w:tcPr>
            <w:tcW w:w="0" w:type="dxa"/>
            <w:vAlign w:val="bottom"/>
          </w:tcPr>
          <w:p>
            <w:pPr>
              <w:spacing w:after="0"/>
              <w:rPr>
                <w:sz w:val="1"/>
                <w:szCs w:val="1"/>
                <w:color w:val="auto"/>
              </w:rPr>
            </w:pPr>
          </w:p>
        </w:tc>
      </w:tr>
      <w:tr>
        <w:trPr>
          <w:trHeight w:val="132"/>
        </w:trPr>
        <w:tc>
          <w:tcPr>
            <w:tcW w:w="4400" w:type="dxa"/>
            <w:vAlign w:val="bottom"/>
          </w:tcPr>
          <w:p>
            <w:pPr>
              <w:ind w:left="20"/>
              <w:spacing w:after="0" w:line="125" w:lineRule="exact"/>
              <w:rPr>
                <w:sz w:val="20"/>
                <w:szCs w:val="20"/>
                <w:color w:val="auto"/>
              </w:rPr>
            </w:pPr>
            <w:r>
              <w:rPr>
                <w:rFonts w:ascii="Arial" w:cs="Arial" w:eastAsia="Arial" w:hAnsi="Arial"/>
                <w:sz w:val="11"/>
                <w:szCs w:val="11"/>
                <w:color w:val="auto"/>
              </w:rPr>
              <w:t>Shares issued under employee stock plans</w:t>
            </w:r>
          </w:p>
        </w:tc>
        <w:tc>
          <w:tcPr>
            <w:tcW w:w="800" w:type="dxa"/>
            <w:vAlign w:val="bottom"/>
          </w:tcPr>
          <w:p>
            <w:pPr>
              <w:jc w:val="right"/>
              <w:spacing w:after="0"/>
              <w:rPr>
                <w:sz w:val="20"/>
                <w:szCs w:val="20"/>
                <w:color w:val="auto"/>
              </w:rPr>
            </w:pPr>
            <w:r>
              <w:rPr>
                <w:rFonts w:ascii="Arial" w:cs="Arial" w:eastAsia="Arial" w:hAnsi="Arial"/>
                <w:sz w:val="10"/>
                <w:szCs w:val="10"/>
                <w:color w:val="auto"/>
              </w:rPr>
              <w:t>21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203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ind w:left="90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1080" w:type="dxa"/>
            <w:vAlign w:val="bottom"/>
            <w:gridSpan w:val="2"/>
          </w:tcPr>
          <w:p>
            <w:pPr>
              <w:ind w:left="8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203</w:t>
            </w:r>
          </w:p>
        </w:tc>
        <w:tc>
          <w:tcPr>
            <w:tcW w:w="0" w:type="dxa"/>
            <w:vAlign w:val="bottom"/>
          </w:tcPr>
          <w:p>
            <w:pPr>
              <w:spacing w:after="0"/>
              <w:rPr>
                <w:sz w:val="1"/>
                <w:szCs w:val="1"/>
                <w:color w:val="auto"/>
              </w:rPr>
            </w:pPr>
          </w:p>
        </w:tc>
      </w:tr>
      <w:tr>
        <w:trPr>
          <w:trHeight w:val="166"/>
        </w:trPr>
        <w:tc>
          <w:tcPr>
            <w:tcW w:w="4400" w:type="dxa"/>
            <w:vAlign w:val="bottom"/>
            <w:shd w:val="clear" w:color="auto" w:fill="CFF0FC"/>
          </w:tcPr>
          <w:p>
            <w:pPr>
              <w:ind w:left="20"/>
              <w:spacing w:after="0"/>
              <w:rPr>
                <w:sz w:val="20"/>
                <w:szCs w:val="20"/>
                <w:color w:val="auto"/>
              </w:rPr>
            </w:pPr>
            <w:r>
              <w:rPr>
                <w:rFonts w:ascii="Arial" w:cs="Arial" w:eastAsia="Arial" w:hAnsi="Arial"/>
                <w:sz w:val="11"/>
                <w:szCs w:val="11"/>
                <w:color w:val="auto"/>
              </w:rPr>
              <w:t>Stock-based compensation</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0"/>
                <w:szCs w:val="10"/>
                <w:color w:val="auto"/>
              </w:rPr>
              <w:t>4,364</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ind w:left="900"/>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ind w:left="8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4,364</w:t>
            </w:r>
          </w:p>
        </w:tc>
        <w:tc>
          <w:tcPr>
            <w:tcW w:w="0" w:type="dxa"/>
            <w:vAlign w:val="bottom"/>
          </w:tcPr>
          <w:p>
            <w:pPr>
              <w:spacing w:after="0"/>
              <w:rPr>
                <w:sz w:val="1"/>
                <w:szCs w:val="1"/>
                <w:color w:val="auto"/>
              </w:rPr>
            </w:pPr>
          </w:p>
        </w:tc>
      </w:tr>
      <w:tr>
        <w:trPr>
          <w:trHeight w:val="152"/>
        </w:trPr>
        <w:tc>
          <w:tcPr>
            <w:tcW w:w="4400" w:type="dxa"/>
            <w:vAlign w:val="bottom"/>
          </w:tcPr>
          <w:p>
            <w:pPr>
              <w:ind w:left="20"/>
              <w:spacing w:after="0"/>
              <w:rPr>
                <w:sz w:val="20"/>
                <w:szCs w:val="20"/>
                <w:color w:val="auto"/>
              </w:rPr>
            </w:pPr>
            <w:r>
              <w:rPr>
                <w:rFonts w:ascii="Arial" w:cs="Arial" w:eastAsia="Arial" w:hAnsi="Arial"/>
                <w:sz w:val="11"/>
                <w:szCs w:val="11"/>
                <w:color w:val="auto"/>
              </w:rPr>
              <w:t>Comprehensive loss, net</w:t>
            </w:r>
          </w:p>
        </w:tc>
        <w:tc>
          <w:tcPr>
            <w:tcW w:w="9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(24)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ind w:left="84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(24)</w:t>
            </w:r>
          </w:p>
        </w:tc>
        <w:tc>
          <w:tcPr>
            <w:tcW w:w="0" w:type="dxa"/>
            <w:vAlign w:val="bottom"/>
          </w:tcPr>
          <w:p>
            <w:pPr>
              <w:spacing w:after="0"/>
              <w:rPr>
                <w:sz w:val="1"/>
                <w:szCs w:val="1"/>
                <w:color w:val="auto"/>
              </w:rPr>
            </w:pPr>
          </w:p>
        </w:tc>
      </w:tr>
      <w:tr>
        <w:trPr>
          <w:trHeight w:val="166"/>
        </w:trPr>
        <w:tc>
          <w:tcPr>
            <w:tcW w:w="4400" w:type="dxa"/>
            <w:vAlign w:val="bottom"/>
            <w:shd w:val="clear" w:color="auto" w:fill="CFF0FC"/>
          </w:tcPr>
          <w:p>
            <w:pPr>
              <w:ind w:left="20"/>
              <w:spacing w:after="0"/>
              <w:rPr>
                <w:sz w:val="20"/>
                <w:szCs w:val="20"/>
                <w:color w:val="auto"/>
              </w:rPr>
            </w:pPr>
            <w:r>
              <w:rPr>
                <w:rFonts w:ascii="Arial" w:cs="Arial" w:eastAsia="Arial" w:hAnsi="Arial"/>
                <w:sz w:val="11"/>
                <w:szCs w:val="11"/>
                <w:color w:val="auto"/>
              </w:rPr>
              <w:t>Net loss</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ind w:left="900"/>
              <w:spacing w:after="0"/>
              <w:rPr>
                <w:sz w:val="20"/>
                <w:szCs w:val="20"/>
                <w:color w:val="auto"/>
              </w:rPr>
            </w:pPr>
            <w:r>
              <w:rPr>
                <w:rFonts w:ascii="Arial" w:cs="Arial" w:eastAsia="Arial" w:hAnsi="Arial"/>
                <w:sz w:val="10"/>
                <w:szCs w:val="10"/>
                <w:color w:val="auto"/>
              </w:rPr>
              <w:t>—</w:t>
            </w: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(6,666)</w:t>
            </w: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0"/>
                <w:szCs w:val="10"/>
                <w:color w:val="auto"/>
              </w:rPr>
              <w:t>(6,666)</w:t>
            </w:r>
          </w:p>
        </w:tc>
        <w:tc>
          <w:tcPr>
            <w:tcW w:w="0" w:type="dxa"/>
            <w:vAlign w:val="bottom"/>
          </w:tcPr>
          <w:p>
            <w:pPr>
              <w:spacing w:after="0"/>
              <w:rPr>
                <w:sz w:val="1"/>
                <w:szCs w:val="1"/>
                <w:color w:val="auto"/>
              </w:rPr>
            </w:pPr>
          </w:p>
        </w:tc>
      </w:tr>
      <w:tr>
        <w:trPr>
          <w:trHeight w:val="128"/>
        </w:trPr>
        <w:tc>
          <w:tcPr>
            <w:tcW w:w="4400" w:type="dxa"/>
            <w:vAlign w:val="bottom"/>
          </w:tcPr>
          <w:p>
            <w:pPr>
              <w:ind w:left="20"/>
              <w:spacing w:after="0"/>
              <w:rPr>
                <w:sz w:val="20"/>
                <w:szCs w:val="20"/>
                <w:color w:val="auto"/>
              </w:rPr>
            </w:pPr>
            <w:r>
              <w:rPr>
                <w:rFonts w:ascii="Arial" w:cs="Arial" w:eastAsia="Arial" w:hAnsi="Arial"/>
                <w:sz w:val="11"/>
                <w:szCs w:val="11"/>
                <w:b w:val="1"/>
                <w:bCs w:val="1"/>
                <w:color w:val="auto"/>
              </w:rPr>
              <w:t>Balance, September 30, 2021</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27,454</w:t>
            </w:r>
          </w:p>
        </w:tc>
        <w:tc>
          <w:tcPr>
            <w:tcW w:w="100" w:type="dxa"/>
            <w:vAlign w:val="bottom"/>
          </w:tcPr>
          <w:p>
            <w:pPr>
              <w:spacing w:after="0"/>
              <w:rPr>
                <w:sz w:val="11"/>
                <w:szCs w:val="11"/>
                <w:color w:val="auto"/>
              </w:rPr>
            </w:pPr>
          </w:p>
        </w:tc>
        <w:tc>
          <w:tcPr>
            <w:tcW w:w="2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27</w:t>
            </w:r>
          </w:p>
        </w:tc>
        <w:tc>
          <w:tcPr>
            <w:tcW w:w="100" w:type="dxa"/>
            <w:vAlign w:val="bottom"/>
          </w:tcPr>
          <w:p>
            <w:pPr>
              <w:spacing w:after="0"/>
              <w:rPr>
                <w:sz w:val="11"/>
                <w:szCs w:val="11"/>
                <w:color w:val="auto"/>
              </w:rPr>
            </w:pPr>
          </w:p>
        </w:tc>
        <w:tc>
          <w:tcPr>
            <w:tcW w:w="2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672,996</w:t>
            </w:r>
          </w:p>
        </w:tc>
        <w:tc>
          <w:tcPr>
            <w:tcW w:w="10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(200)</w:t>
            </w:r>
          </w:p>
        </w:tc>
        <w:tc>
          <w:tcPr>
            <w:tcW w:w="8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(289,215)</w:t>
            </w:r>
          </w:p>
        </w:tc>
        <w:tc>
          <w:tcPr>
            <w:tcW w:w="100" w:type="dxa"/>
            <w:vAlign w:val="bottom"/>
          </w:tcPr>
          <w:p>
            <w:pPr>
              <w:spacing w:after="0"/>
              <w:rPr>
                <w:sz w:val="11"/>
                <w:szCs w:val="11"/>
                <w:color w:val="auto"/>
              </w:rPr>
            </w:pPr>
          </w:p>
        </w:tc>
        <w:tc>
          <w:tcPr>
            <w:tcW w:w="2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383,608</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unaudited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AnaptysBio,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90" w:lineRule="exact"/>
        <w:rPr>
          <w:sz w:val="20"/>
          <w:szCs w:val="20"/>
          <w:color w:val="auto"/>
        </w:rPr>
      </w:pPr>
    </w:p>
    <w:p>
      <w:pPr>
        <w:jc w:val="center"/>
        <w:ind w:left="7820"/>
        <w:spacing w:after="0"/>
        <w:rPr>
          <w:sz w:val="20"/>
          <w:szCs w:val="20"/>
          <w:color w:val="auto"/>
        </w:rPr>
      </w:pPr>
      <w:r>
        <w:rPr>
          <w:rFonts w:ascii="Arial" w:cs="Arial" w:eastAsia="Arial" w:hAnsi="Arial"/>
          <w:sz w:val="11"/>
          <w:szCs w:val="11"/>
          <w:b w:val="1"/>
          <w:bCs w:val="1"/>
          <w:color w:val="auto"/>
        </w:rPr>
        <w:t>Nine Months Ended</w:t>
      </w:r>
    </w:p>
    <w:p>
      <w:pPr>
        <w:jc w:val="center"/>
        <w:ind w:left="7820"/>
        <w:spacing w:after="0"/>
        <w:rPr>
          <w:sz w:val="20"/>
          <w:szCs w:val="20"/>
          <w:color w:val="auto"/>
        </w:rPr>
      </w:pPr>
      <w:r>
        <w:rPr>
          <w:rFonts w:ascii="Arial" w:cs="Arial" w:eastAsia="Arial" w:hAnsi="Arial"/>
          <w:sz w:val="11"/>
          <w:szCs w:val="11"/>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840" w:type="dxa"/>
            <w:vAlign w:val="bottom"/>
            <w:tcBorders>
              <w:bottom w:val="single" w:sz="8" w:color="CFF0FC"/>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1"/>
                <w:szCs w:val="11"/>
                <w:b w:val="1"/>
                <w:bCs w:val="1"/>
                <w:color w:val="auto"/>
              </w:rPr>
              <w:t>2022</w:t>
            </w:r>
          </w:p>
        </w:tc>
        <w:tc>
          <w:tcPr>
            <w:tcW w:w="6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FF0FC"/>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1"/>
                <w:szCs w:val="11"/>
                <w:b w:val="1"/>
                <w:bCs w:val="1"/>
                <w:color w:val="auto"/>
              </w:rPr>
              <w:t>2021</w:t>
            </w:r>
          </w:p>
        </w:tc>
      </w:tr>
      <w:tr>
        <w:trPr>
          <w:trHeight w:val="156"/>
        </w:trPr>
        <w:tc>
          <w:tcPr>
            <w:tcW w:w="78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106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r>
      <w:tr>
        <w:trPr>
          <w:trHeight w:val="168"/>
        </w:trPr>
        <w:tc>
          <w:tcPr>
            <w:tcW w:w="7840" w:type="dxa"/>
            <w:vAlign w:val="bottom"/>
          </w:tcPr>
          <w:p>
            <w:pPr>
              <w:ind w:left="20"/>
              <w:spacing w:after="0"/>
              <w:rPr>
                <w:sz w:val="20"/>
                <w:szCs w:val="20"/>
                <w:color w:val="auto"/>
              </w:rPr>
            </w:pPr>
            <w:r>
              <w:rPr>
                <w:rFonts w:ascii="Arial" w:cs="Arial" w:eastAsia="Arial" w:hAnsi="Arial"/>
                <w:sz w:val="13"/>
                <w:szCs w:val="13"/>
                <w:color w:val="auto"/>
              </w:rPr>
              <w:t>Net loss</w:t>
            </w:r>
          </w:p>
        </w:tc>
        <w:tc>
          <w:tcPr>
            <w:tcW w:w="1060" w:type="dxa"/>
            <w:vAlign w:val="bottom"/>
          </w:tcPr>
          <w:p>
            <w:pPr>
              <w:jc w:val="right"/>
              <w:ind w:right="9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(102,311)</w:t>
            </w:r>
          </w:p>
        </w:tc>
        <w:tc>
          <w:tcPr>
            <w:tcW w:w="10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(25,258)</w:t>
            </w:r>
          </w:p>
        </w:tc>
      </w:tr>
      <w:tr>
        <w:trPr>
          <w:trHeight w:val="183"/>
        </w:trPr>
        <w:tc>
          <w:tcPr>
            <w:tcW w:w="7840" w:type="dxa"/>
            <w:vAlign w:val="bottom"/>
            <w:shd w:val="clear" w:color="auto" w:fill="CFF0FC"/>
          </w:tcPr>
          <w:p>
            <w:pPr>
              <w:ind w:left="20"/>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10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r>
      <w:tr>
        <w:trPr>
          <w:trHeight w:val="168"/>
        </w:trPr>
        <w:tc>
          <w:tcPr>
            <w:tcW w:w="7840" w:type="dxa"/>
            <w:vAlign w:val="bottom"/>
          </w:tcPr>
          <w:p>
            <w:pPr>
              <w:ind w:left="220"/>
              <w:spacing w:after="0"/>
              <w:rPr>
                <w:sz w:val="20"/>
                <w:szCs w:val="20"/>
                <w:color w:val="auto"/>
              </w:rPr>
            </w:pPr>
            <w:r>
              <w:rPr>
                <w:rFonts w:ascii="Arial" w:cs="Arial" w:eastAsia="Arial" w:hAnsi="Arial"/>
                <w:sz w:val="13"/>
                <w:szCs w:val="13"/>
                <w:color w:val="auto"/>
              </w:rPr>
              <w:t>Depreciation and amortization</w:t>
            </w:r>
          </w:p>
        </w:tc>
        <w:tc>
          <w:tcPr>
            <w:tcW w:w="10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491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454</w:t>
            </w:r>
          </w:p>
        </w:tc>
      </w:tr>
      <w:tr>
        <w:trPr>
          <w:trHeight w:val="172"/>
        </w:trPr>
        <w:tc>
          <w:tcPr>
            <w:tcW w:w="7840" w:type="dxa"/>
            <w:vAlign w:val="bottom"/>
            <w:shd w:val="clear" w:color="auto" w:fill="CFF0FC"/>
          </w:tcPr>
          <w:p>
            <w:pPr>
              <w:ind w:left="220"/>
              <w:spacing w:after="0"/>
              <w:rPr>
                <w:sz w:val="20"/>
                <w:szCs w:val="20"/>
                <w:color w:val="auto"/>
              </w:rPr>
            </w:pPr>
            <w:r>
              <w:rPr>
                <w:rFonts w:ascii="Arial" w:cs="Arial" w:eastAsia="Arial" w:hAnsi="Arial"/>
                <w:sz w:val="13"/>
                <w:szCs w:val="13"/>
                <w:color w:val="auto"/>
              </w:rPr>
              <w:t>Stock-based compensation</w:t>
            </w:r>
          </w:p>
        </w:tc>
        <w:tc>
          <w:tcPr>
            <w:tcW w:w="10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20,671</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11,369</w:t>
            </w:r>
          </w:p>
        </w:tc>
      </w:tr>
      <w:tr>
        <w:trPr>
          <w:trHeight w:val="168"/>
        </w:trPr>
        <w:tc>
          <w:tcPr>
            <w:tcW w:w="7840" w:type="dxa"/>
            <w:vAlign w:val="bottom"/>
          </w:tcPr>
          <w:p>
            <w:pPr>
              <w:ind w:left="220"/>
              <w:spacing w:after="0"/>
              <w:rPr>
                <w:sz w:val="20"/>
                <w:szCs w:val="20"/>
                <w:color w:val="auto"/>
              </w:rPr>
            </w:pPr>
            <w:r>
              <w:rPr>
                <w:rFonts w:ascii="Arial" w:cs="Arial" w:eastAsia="Arial" w:hAnsi="Arial"/>
                <w:sz w:val="13"/>
                <w:szCs w:val="13"/>
                <w:color w:val="auto"/>
              </w:rPr>
              <w:t>Accretion/amortization of investments, net</w:t>
            </w:r>
          </w:p>
        </w:tc>
        <w:tc>
          <w:tcPr>
            <w:tcW w:w="10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(784)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393</w:t>
            </w:r>
          </w:p>
        </w:tc>
      </w:tr>
      <w:tr>
        <w:trPr>
          <w:trHeight w:val="172"/>
        </w:trPr>
        <w:tc>
          <w:tcPr>
            <w:tcW w:w="7840" w:type="dxa"/>
            <w:vAlign w:val="bottom"/>
            <w:shd w:val="clear" w:color="auto" w:fill="CFF0FC"/>
          </w:tcPr>
          <w:p>
            <w:pPr>
              <w:ind w:left="220"/>
              <w:spacing w:after="0"/>
              <w:rPr>
                <w:sz w:val="20"/>
                <w:szCs w:val="20"/>
                <w:color w:val="auto"/>
              </w:rPr>
            </w:pPr>
            <w:r>
              <w:rPr>
                <w:rFonts w:ascii="Arial" w:cs="Arial" w:eastAsia="Arial" w:hAnsi="Arial"/>
                <w:sz w:val="13"/>
                <w:szCs w:val="13"/>
                <w:color w:val="auto"/>
              </w:rPr>
              <w:t>Amortization of right-of-use assets – operating</w:t>
            </w:r>
          </w:p>
        </w:tc>
        <w:tc>
          <w:tcPr>
            <w:tcW w:w="10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1,238</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1,251</w:t>
            </w:r>
          </w:p>
        </w:tc>
      </w:tr>
      <w:tr>
        <w:trPr>
          <w:trHeight w:val="168"/>
        </w:trPr>
        <w:tc>
          <w:tcPr>
            <w:tcW w:w="7840" w:type="dxa"/>
            <w:vAlign w:val="bottom"/>
          </w:tcPr>
          <w:p>
            <w:pPr>
              <w:ind w:left="220"/>
              <w:spacing w:after="0"/>
              <w:rPr>
                <w:sz w:val="20"/>
                <w:szCs w:val="20"/>
                <w:color w:val="auto"/>
              </w:rPr>
            </w:pPr>
            <w:r>
              <w:rPr>
                <w:rFonts w:ascii="Arial" w:cs="Arial" w:eastAsia="Arial" w:hAnsi="Arial"/>
                <w:sz w:val="13"/>
                <w:szCs w:val="13"/>
                <w:color w:val="auto"/>
              </w:rPr>
              <w:t>Non-cash interest expense</w:t>
            </w:r>
          </w:p>
        </w:tc>
        <w:tc>
          <w:tcPr>
            <w:tcW w:w="10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16,857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7840" w:type="dxa"/>
            <w:vAlign w:val="bottom"/>
            <w:shd w:val="clear" w:color="auto" w:fill="CFF0FC"/>
          </w:tcPr>
          <w:p>
            <w:pPr>
              <w:ind w:left="220"/>
              <w:spacing w:after="0"/>
              <w:rPr>
                <w:sz w:val="20"/>
                <w:szCs w:val="20"/>
                <w:color w:val="auto"/>
              </w:rPr>
            </w:pPr>
            <w:r>
              <w:rPr>
                <w:rFonts w:ascii="Arial" w:cs="Arial" w:eastAsia="Arial" w:hAnsi="Arial"/>
                <w:sz w:val="13"/>
                <w:szCs w:val="13"/>
                <w:color w:val="auto"/>
              </w:rPr>
              <w:t>Gain on disposal of property and equipment</w:t>
            </w:r>
          </w:p>
        </w:tc>
        <w:tc>
          <w:tcPr>
            <w:tcW w:w="106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w:t>
            </w:r>
          </w:p>
        </w:tc>
      </w:tr>
      <w:tr>
        <w:trPr>
          <w:trHeight w:val="168"/>
        </w:trPr>
        <w:tc>
          <w:tcPr>
            <w:tcW w:w="7840" w:type="dxa"/>
            <w:vAlign w:val="bottom"/>
          </w:tcPr>
          <w:p>
            <w:pPr>
              <w:ind w:left="220"/>
              <w:spacing w:after="0"/>
              <w:rPr>
                <w:sz w:val="20"/>
                <w:szCs w:val="20"/>
                <w:color w:val="auto"/>
              </w:rPr>
            </w:pPr>
            <w:r>
              <w:rPr>
                <w:rFonts w:ascii="Arial" w:cs="Arial" w:eastAsia="Arial" w:hAnsi="Arial"/>
                <w:sz w:val="13"/>
                <w:szCs w:val="13"/>
                <w:color w:val="auto"/>
              </w:rPr>
              <w:t>Changes in operating assets and liabilities:</w:t>
            </w: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7840" w:type="dxa"/>
            <w:vAlign w:val="bottom"/>
            <w:shd w:val="clear" w:color="auto" w:fill="CFF0FC"/>
          </w:tcPr>
          <w:p>
            <w:pPr>
              <w:ind w:left="400"/>
              <w:spacing w:after="0"/>
              <w:rPr>
                <w:sz w:val="20"/>
                <w:szCs w:val="20"/>
                <w:color w:val="auto"/>
              </w:rPr>
            </w:pPr>
            <w:r>
              <w:rPr>
                <w:rFonts w:ascii="Arial" w:cs="Arial" w:eastAsia="Arial" w:hAnsi="Arial"/>
                <w:sz w:val="13"/>
                <w:szCs w:val="13"/>
                <w:color w:val="auto"/>
              </w:rPr>
              <w:t>Receivables from collaborative partners</w:t>
            </w:r>
          </w:p>
        </w:tc>
        <w:tc>
          <w:tcPr>
            <w:tcW w:w="10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(304)</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(761)</w:t>
            </w:r>
          </w:p>
        </w:tc>
      </w:tr>
      <w:tr>
        <w:trPr>
          <w:trHeight w:val="168"/>
        </w:trPr>
        <w:tc>
          <w:tcPr>
            <w:tcW w:w="7840" w:type="dxa"/>
            <w:vAlign w:val="bottom"/>
          </w:tcPr>
          <w:p>
            <w:pPr>
              <w:ind w:left="400"/>
              <w:spacing w:after="0"/>
              <w:rPr>
                <w:sz w:val="20"/>
                <w:szCs w:val="20"/>
                <w:color w:val="auto"/>
              </w:rPr>
            </w:pPr>
            <w:r>
              <w:rPr>
                <w:rFonts w:ascii="Arial" w:cs="Arial" w:eastAsia="Arial" w:hAnsi="Arial"/>
                <w:sz w:val="13"/>
                <w:szCs w:val="13"/>
                <w:color w:val="auto"/>
              </w:rPr>
              <w:t>Prepaid expenses and other assets</w:t>
            </w:r>
          </w:p>
        </w:tc>
        <w:tc>
          <w:tcPr>
            <w:tcW w:w="10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(2,518)</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(8,541)</w:t>
            </w:r>
          </w:p>
        </w:tc>
      </w:tr>
      <w:tr>
        <w:trPr>
          <w:trHeight w:val="172"/>
        </w:trPr>
        <w:tc>
          <w:tcPr>
            <w:tcW w:w="7840" w:type="dxa"/>
            <w:vAlign w:val="bottom"/>
            <w:shd w:val="clear" w:color="auto" w:fill="CFF0FC"/>
          </w:tcPr>
          <w:p>
            <w:pPr>
              <w:ind w:left="400"/>
              <w:spacing w:after="0"/>
              <w:rPr>
                <w:sz w:val="20"/>
                <w:szCs w:val="20"/>
                <w:color w:val="auto"/>
              </w:rPr>
            </w:pPr>
            <w:r>
              <w:rPr>
                <w:rFonts w:ascii="Arial" w:cs="Arial" w:eastAsia="Arial" w:hAnsi="Arial"/>
                <w:sz w:val="13"/>
                <w:szCs w:val="13"/>
                <w:color w:val="auto"/>
              </w:rPr>
              <w:t>Accounts payable and other liabilities</w:t>
            </w:r>
          </w:p>
        </w:tc>
        <w:tc>
          <w:tcPr>
            <w:tcW w:w="10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4,868</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581</w:t>
            </w:r>
          </w:p>
        </w:tc>
      </w:tr>
      <w:tr>
        <w:trPr>
          <w:trHeight w:val="168"/>
        </w:trPr>
        <w:tc>
          <w:tcPr>
            <w:tcW w:w="7840" w:type="dxa"/>
            <w:vAlign w:val="bottom"/>
            <w:tcBorders>
              <w:bottom w:val="single" w:sz="8" w:color="CFF0FC"/>
            </w:tcBorders>
          </w:tcPr>
          <w:p>
            <w:pPr>
              <w:ind w:left="400"/>
              <w:spacing w:after="0"/>
              <w:rPr>
                <w:sz w:val="20"/>
                <w:szCs w:val="20"/>
                <w:color w:val="auto"/>
              </w:rPr>
            </w:pPr>
            <w:r>
              <w:rPr>
                <w:rFonts w:ascii="Arial" w:cs="Arial" w:eastAsia="Arial" w:hAnsi="Arial"/>
                <w:sz w:val="13"/>
                <w:szCs w:val="13"/>
                <w:color w:val="auto"/>
              </w:rPr>
              <w:t>Operating lease liabilities</w:t>
            </w:r>
          </w:p>
        </w:tc>
        <w:tc>
          <w:tcPr>
            <w:tcW w:w="10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(1,116)</w:t>
            </w:r>
          </w:p>
        </w:tc>
        <w:tc>
          <w:tcPr>
            <w:tcW w:w="10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w:t>
            </w:r>
          </w:p>
        </w:tc>
      </w:tr>
      <w:tr>
        <w:trPr>
          <w:trHeight w:val="163"/>
        </w:trPr>
        <w:tc>
          <w:tcPr>
            <w:tcW w:w="7840" w:type="dxa"/>
            <w:vAlign w:val="bottom"/>
            <w:shd w:val="clear" w:color="auto" w:fill="CFF0FC"/>
          </w:tcPr>
          <w:p>
            <w:pPr>
              <w:ind w:left="600"/>
              <w:spacing w:after="0" w:line="148" w:lineRule="exact"/>
              <w:rPr>
                <w:sz w:val="20"/>
                <w:szCs w:val="20"/>
                <w:color w:val="auto"/>
              </w:rPr>
            </w:pPr>
            <w:r>
              <w:rPr>
                <w:rFonts w:ascii="Arial" w:cs="Arial" w:eastAsia="Arial" w:hAnsi="Arial"/>
                <w:sz w:val="13"/>
                <w:szCs w:val="13"/>
                <w:color w:val="auto"/>
              </w:rPr>
              <w:t>Net cash used in operating activities</w:t>
            </w:r>
          </w:p>
        </w:tc>
        <w:tc>
          <w:tcPr>
            <w:tcW w:w="10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(62,908)</w:t>
            </w:r>
          </w:p>
        </w:tc>
        <w:tc>
          <w:tcPr>
            <w:tcW w:w="100" w:type="dxa"/>
            <w:vAlign w:val="bottom"/>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(20,619)</w:t>
            </w:r>
          </w:p>
        </w:tc>
      </w:tr>
      <w:tr>
        <w:trPr>
          <w:trHeight w:val="148"/>
        </w:trPr>
        <w:tc>
          <w:tcPr>
            <w:tcW w:w="7840" w:type="dxa"/>
            <w:vAlign w:val="bottom"/>
          </w:tcPr>
          <w:p>
            <w:pPr>
              <w:ind w:left="20"/>
              <w:spacing w:after="0" w:line="146" w:lineRule="exact"/>
              <w:rPr>
                <w:sz w:val="20"/>
                <w:szCs w:val="20"/>
                <w:color w:val="auto"/>
              </w:rPr>
            </w:pPr>
            <w:r>
              <w:rPr>
                <w:rFonts w:ascii="Arial" w:cs="Arial" w:eastAsia="Arial" w:hAnsi="Arial"/>
                <w:sz w:val="13"/>
                <w:szCs w:val="13"/>
                <w:b w:val="1"/>
                <w:bCs w:val="1"/>
                <w:color w:val="auto"/>
              </w:rPr>
              <w:t>CASH FLOWS FROM INVESTING ACTIVITIES:</w:t>
            </w: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72"/>
        </w:trPr>
        <w:tc>
          <w:tcPr>
            <w:tcW w:w="7840" w:type="dxa"/>
            <w:vAlign w:val="bottom"/>
            <w:shd w:val="clear" w:color="auto" w:fill="CFF0FC"/>
          </w:tcPr>
          <w:p>
            <w:pPr>
              <w:ind w:left="20"/>
              <w:spacing w:after="0"/>
              <w:rPr>
                <w:sz w:val="20"/>
                <w:szCs w:val="20"/>
                <w:color w:val="auto"/>
              </w:rPr>
            </w:pPr>
            <w:r>
              <w:rPr>
                <w:rFonts w:ascii="Arial" w:cs="Arial" w:eastAsia="Arial" w:hAnsi="Arial"/>
                <w:sz w:val="13"/>
                <w:szCs w:val="13"/>
                <w:color w:val="auto"/>
              </w:rPr>
              <w:t>Purchases of investments</w:t>
            </w:r>
          </w:p>
        </w:tc>
        <w:tc>
          <w:tcPr>
            <w:tcW w:w="10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(674,925)</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(26,482)</w:t>
            </w:r>
          </w:p>
        </w:tc>
      </w:tr>
      <w:tr>
        <w:trPr>
          <w:trHeight w:val="168"/>
        </w:trPr>
        <w:tc>
          <w:tcPr>
            <w:tcW w:w="7840" w:type="dxa"/>
            <w:vAlign w:val="bottom"/>
          </w:tcPr>
          <w:p>
            <w:pPr>
              <w:ind w:left="20"/>
              <w:spacing w:after="0"/>
              <w:rPr>
                <w:sz w:val="20"/>
                <w:szCs w:val="20"/>
                <w:color w:val="auto"/>
              </w:rPr>
            </w:pPr>
            <w:r>
              <w:rPr>
                <w:rFonts w:ascii="Arial" w:cs="Arial" w:eastAsia="Arial" w:hAnsi="Arial"/>
                <w:sz w:val="13"/>
                <w:szCs w:val="13"/>
                <w:color w:val="auto"/>
              </w:rPr>
              <w:t>Sales and maturities of investments</w:t>
            </w:r>
          </w:p>
        </w:tc>
        <w:tc>
          <w:tcPr>
            <w:tcW w:w="10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258,766</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133,348</w:t>
            </w:r>
          </w:p>
        </w:tc>
      </w:tr>
      <w:tr>
        <w:trPr>
          <w:trHeight w:val="172"/>
        </w:trPr>
        <w:tc>
          <w:tcPr>
            <w:tcW w:w="784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the sale of property and equipment</w:t>
            </w:r>
          </w:p>
        </w:tc>
        <w:tc>
          <w:tcPr>
            <w:tcW w:w="106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w:t>
            </w:r>
          </w:p>
        </w:tc>
      </w:tr>
      <w:tr>
        <w:trPr>
          <w:trHeight w:val="168"/>
        </w:trPr>
        <w:tc>
          <w:tcPr>
            <w:tcW w:w="7840" w:type="dxa"/>
            <w:vAlign w:val="bottom"/>
            <w:tcBorders>
              <w:bottom w:val="single" w:sz="8" w:color="CFF0FC"/>
            </w:tcBorders>
          </w:tcPr>
          <w:p>
            <w:pPr>
              <w:ind w:left="20"/>
              <w:spacing w:after="0"/>
              <w:rPr>
                <w:sz w:val="20"/>
                <w:szCs w:val="20"/>
                <w:color w:val="auto"/>
              </w:rPr>
            </w:pPr>
            <w:r>
              <w:rPr>
                <w:rFonts w:ascii="Arial" w:cs="Arial" w:eastAsia="Arial" w:hAnsi="Arial"/>
                <w:sz w:val="13"/>
                <w:szCs w:val="13"/>
                <w:color w:val="auto"/>
              </w:rPr>
              <w:t>Purchases of property and equipment</w:t>
            </w:r>
          </w:p>
        </w:tc>
        <w:tc>
          <w:tcPr>
            <w:tcW w:w="10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(183)</w:t>
            </w:r>
          </w:p>
        </w:tc>
        <w:tc>
          <w:tcPr>
            <w:tcW w:w="10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(1,352)</w:t>
            </w:r>
          </w:p>
        </w:tc>
      </w:tr>
      <w:tr>
        <w:trPr>
          <w:trHeight w:val="163"/>
        </w:trPr>
        <w:tc>
          <w:tcPr>
            <w:tcW w:w="7840" w:type="dxa"/>
            <w:vAlign w:val="bottom"/>
            <w:shd w:val="clear" w:color="auto" w:fill="CFF0FC"/>
          </w:tcPr>
          <w:p>
            <w:pPr>
              <w:ind w:left="600"/>
              <w:spacing w:after="0" w:line="148" w:lineRule="exact"/>
              <w:rPr>
                <w:sz w:val="20"/>
                <w:szCs w:val="20"/>
                <w:color w:val="auto"/>
              </w:rPr>
            </w:pPr>
            <w:r>
              <w:rPr>
                <w:rFonts w:ascii="Arial" w:cs="Arial" w:eastAsia="Arial" w:hAnsi="Arial"/>
                <w:sz w:val="13"/>
                <w:szCs w:val="13"/>
                <w:color w:val="auto"/>
              </w:rPr>
              <w:t>Net cash (used in) provided by investing activities</w:t>
            </w:r>
          </w:p>
        </w:tc>
        <w:tc>
          <w:tcPr>
            <w:tcW w:w="10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(416,342)</w:t>
            </w:r>
          </w:p>
        </w:tc>
        <w:tc>
          <w:tcPr>
            <w:tcW w:w="100" w:type="dxa"/>
            <w:vAlign w:val="bottom"/>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105,529</w:t>
            </w:r>
          </w:p>
        </w:tc>
      </w:tr>
      <w:tr>
        <w:trPr>
          <w:trHeight w:val="148"/>
        </w:trPr>
        <w:tc>
          <w:tcPr>
            <w:tcW w:w="7840" w:type="dxa"/>
            <w:vAlign w:val="bottom"/>
          </w:tcPr>
          <w:p>
            <w:pPr>
              <w:ind w:left="20"/>
              <w:spacing w:after="0" w:line="146" w:lineRule="exact"/>
              <w:rPr>
                <w:sz w:val="20"/>
                <w:szCs w:val="20"/>
                <w:color w:val="auto"/>
              </w:rPr>
            </w:pPr>
            <w:r>
              <w:rPr>
                <w:rFonts w:ascii="Arial" w:cs="Arial" w:eastAsia="Arial" w:hAnsi="Arial"/>
                <w:sz w:val="13"/>
                <w:szCs w:val="13"/>
                <w:b w:val="1"/>
                <w:bCs w:val="1"/>
                <w:color w:val="auto"/>
              </w:rPr>
              <w:t>CASH FLOWS FROM FINANCING ACTIVITIES:</w:t>
            </w: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72"/>
        </w:trPr>
        <w:tc>
          <w:tcPr>
            <w:tcW w:w="784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issuance of common stock</w:t>
            </w:r>
          </w:p>
        </w:tc>
        <w:tc>
          <w:tcPr>
            <w:tcW w:w="10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8,408</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962</w:t>
            </w:r>
          </w:p>
        </w:tc>
      </w:tr>
      <w:tr>
        <w:trPr>
          <w:trHeight w:val="168"/>
        </w:trPr>
        <w:tc>
          <w:tcPr>
            <w:tcW w:w="7840" w:type="dxa"/>
            <w:vAlign w:val="bottom"/>
          </w:tcPr>
          <w:p>
            <w:pPr>
              <w:ind w:left="20"/>
              <w:spacing w:after="0"/>
              <w:rPr>
                <w:sz w:val="20"/>
                <w:szCs w:val="20"/>
                <w:color w:val="auto"/>
              </w:rPr>
            </w:pPr>
            <w:r>
              <w:rPr>
                <w:rFonts w:ascii="Arial" w:cs="Arial" w:eastAsia="Arial" w:hAnsi="Arial"/>
                <w:sz w:val="13"/>
                <w:szCs w:val="13"/>
                <w:color w:val="auto"/>
              </w:rPr>
              <w:t>Proceeds from the sale of future royalties</w:t>
            </w:r>
          </w:p>
        </w:tc>
        <w:tc>
          <w:tcPr>
            <w:tcW w:w="10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35,000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784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Repayment of liability for sale of future royalties</w:t>
            </w:r>
          </w:p>
        </w:tc>
        <w:tc>
          <w:tcPr>
            <w:tcW w:w="10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(1,050)</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840" w:type="dxa"/>
            <w:vAlign w:val="bottom"/>
            <w:tcBorders>
              <w:bottom w:val="single" w:sz="8" w:color="CFF0FC"/>
            </w:tcBorders>
          </w:tcPr>
          <w:p>
            <w:pPr>
              <w:ind w:left="20"/>
              <w:spacing w:after="0"/>
              <w:rPr>
                <w:sz w:val="20"/>
                <w:szCs w:val="20"/>
                <w:color w:val="auto"/>
              </w:rPr>
            </w:pPr>
            <w:r>
              <w:rPr>
                <w:rFonts w:ascii="Arial" w:cs="Arial" w:eastAsia="Arial" w:hAnsi="Arial"/>
                <w:sz w:val="13"/>
                <w:szCs w:val="13"/>
                <w:color w:val="auto"/>
              </w:rPr>
              <w:t>Payments for debt issuance costs</w:t>
            </w:r>
          </w:p>
        </w:tc>
        <w:tc>
          <w:tcPr>
            <w:tcW w:w="10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(290)</w:t>
            </w:r>
          </w:p>
        </w:tc>
        <w:tc>
          <w:tcPr>
            <w:tcW w:w="10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3"/>
        </w:trPr>
        <w:tc>
          <w:tcPr>
            <w:tcW w:w="7840" w:type="dxa"/>
            <w:vAlign w:val="bottom"/>
            <w:shd w:val="clear" w:color="auto" w:fill="CFF0FC"/>
          </w:tcPr>
          <w:p>
            <w:pPr>
              <w:ind w:left="600"/>
              <w:spacing w:after="0" w:line="148" w:lineRule="exact"/>
              <w:rPr>
                <w:sz w:val="20"/>
                <w:szCs w:val="20"/>
                <w:color w:val="auto"/>
              </w:rPr>
            </w:pPr>
            <w:r>
              <w:rPr>
                <w:rFonts w:ascii="Arial" w:cs="Arial" w:eastAsia="Arial" w:hAnsi="Arial"/>
                <w:sz w:val="13"/>
                <w:szCs w:val="13"/>
                <w:color w:val="auto"/>
              </w:rPr>
              <w:t>Net cash provided by financing activities</w:t>
            </w:r>
          </w:p>
        </w:tc>
        <w:tc>
          <w:tcPr>
            <w:tcW w:w="10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42,068</w:t>
            </w:r>
          </w:p>
        </w:tc>
        <w:tc>
          <w:tcPr>
            <w:tcW w:w="100" w:type="dxa"/>
            <w:vAlign w:val="bottom"/>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962</w:t>
            </w:r>
          </w:p>
        </w:tc>
      </w:tr>
      <w:tr>
        <w:trPr>
          <w:trHeight w:val="158"/>
        </w:trPr>
        <w:tc>
          <w:tcPr>
            <w:tcW w:w="7840" w:type="dxa"/>
            <w:vAlign w:val="bottom"/>
          </w:tcPr>
          <w:p>
            <w:pPr>
              <w:ind w:left="780"/>
              <w:spacing w:after="0" w:line="146" w:lineRule="exact"/>
              <w:rPr>
                <w:sz w:val="20"/>
                <w:szCs w:val="20"/>
                <w:color w:val="auto"/>
              </w:rPr>
            </w:pPr>
            <w:r>
              <w:rPr>
                <w:rFonts w:ascii="Arial" w:cs="Arial" w:eastAsia="Arial" w:hAnsi="Arial"/>
                <w:sz w:val="13"/>
                <w:szCs w:val="13"/>
                <w:color w:val="auto"/>
              </w:rPr>
              <w:t>Net (decrease) increase in cash and cash equivalents</w:t>
            </w:r>
          </w:p>
        </w:tc>
        <w:tc>
          <w:tcPr>
            <w:tcW w:w="10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(437,182)</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85,872</w:t>
            </w:r>
          </w:p>
        </w:tc>
      </w:tr>
      <w:tr>
        <w:trPr>
          <w:trHeight w:val="172"/>
        </w:trPr>
        <w:tc>
          <w:tcPr>
            <w:tcW w:w="7840" w:type="dxa"/>
            <w:vAlign w:val="bottom"/>
            <w:shd w:val="clear" w:color="auto" w:fill="CFF0FC"/>
          </w:tcPr>
          <w:p>
            <w:pPr>
              <w:ind w:left="20"/>
              <w:spacing w:after="0"/>
              <w:rPr>
                <w:sz w:val="20"/>
                <w:szCs w:val="20"/>
                <w:color w:val="auto"/>
              </w:rPr>
            </w:pPr>
            <w:r>
              <w:rPr>
                <w:rFonts w:ascii="Arial" w:cs="Arial" w:eastAsia="Arial" w:hAnsi="Arial"/>
                <w:sz w:val="13"/>
                <w:szCs w:val="13"/>
                <w:color w:val="auto"/>
              </w:rPr>
              <w:t>Cash, cash equivalents and restricted cash, beginning of period</w:t>
            </w:r>
          </w:p>
        </w:tc>
        <w:tc>
          <w:tcPr>
            <w:tcW w:w="10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495,729</w:t>
            </w:r>
          </w:p>
        </w:tc>
        <w:tc>
          <w:tcPr>
            <w:tcW w:w="100" w:type="dxa"/>
            <w:vAlign w:val="bottom"/>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250,516</w:t>
            </w:r>
          </w:p>
        </w:tc>
      </w:tr>
      <w:tr>
        <w:trPr>
          <w:trHeight w:val="158"/>
        </w:trPr>
        <w:tc>
          <w:tcPr>
            <w:tcW w:w="7840" w:type="dxa"/>
            <w:vAlign w:val="bottom"/>
          </w:tcPr>
          <w:p>
            <w:pPr>
              <w:ind w:left="20"/>
              <w:spacing w:after="0" w:line="146" w:lineRule="exact"/>
              <w:rPr>
                <w:sz w:val="20"/>
                <w:szCs w:val="20"/>
                <w:color w:val="auto"/>
              </w:rPr>
            </w:pPr>
            <w:r>
              <w:rPr>
                <w:rFonts w:ascii="Arial" w:cs="Arial" w:eastAsia="Arial" w:hAnsi="Arial"/>
                <w:sz w:val="13"/>
                <w:szCs w:val="13"/>
                <w:color w:val="auto"/>
              </w:rPr>
              <w:t>Cash, cash equivalents and restricted cash, end of period</w:t>
            </w:r>
          </w:p>
        </w:tc>
        <w:tc>
          <w:tcPr>
            <w:tcW w:w="1060" w:type="dxa"/>
            <w:vAlign w:val="bottom"/>
            <w:tcBorders>
              <w:bottom w:val="single" w:sz="8" w:color="auto"/>
            </w:tcBorders>
          </w:tcPr>
          <w:p>
            <w:pPr>
              <w:jc w:val="right"/>
              <w:ind w:right="917"/>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58,547</w:t>
            </w:r>
          </w:p>
        </w:tc>
        <w:tc>
          <w:tcPr>
            <w:tcW w:w="100" w:type="dxa"/>
            <w:vAlign w:val="bottom"/>
          </w:tcPr>
          <w:p>
            <w:pPr>
              <w:spacing w:after="0"/>
              <w:rPr>
                <w:sz w:val="13"/>
                <w:szCs w:val="13"/>
                <w:color w:val="auto"/>
              </w:rPr>
            </w:pP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336,388</w:t>
            </w:r>
          </w:p>
        </w:tc>
      </w:tr>
      <w:tr>
        <w:trPr>
          <w:trHeight w:val="20"/>
        </w:trPr>
        <w:tc>
          <w:tcPr>
            <w:tcW w:w="7840" w:type="dxa"/>
            <w:vAlign w:val="bottom"/>
            <w:tcBorders>
              <w:bottom w:val="single" w:sz="8" w:color="CFF0FC"/>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44"/>
        </w:trPr>
        <w:tc>
          <w:tcPr>
            <w:tcW w:w="7840" w:type="dxa"/>
            <w:vAlign w:val="bottom"/>
            <w:shd w:val="clear" w:color="auto" w:fill="CFF0FC"/>
          </w:tcPr>
          <w:p>
            <w:pPr>
              <w:ind w:left="20"/>
              <w:spacing w:after="0" w:line="144" w:lineRule="exact"/>
              <w:rPr>
                <w:sz w:val="20"/>
                <w:szCs w:val="20"/>
                <w:color w:val="auto"/>
              </w:rPr>
            </w:pPr>
            <w:r>
              <w:rPr>
                <w:rFonts w:ascii="Arial" w:cs="Arial" w:eastAsia="Arial" w:hAnsi="Arial"/>
                <w:sz w:val="13"/>
                <w:szCs w:val="13"/>
                <w:b w:val="1"/>
                <w:bCs w:val="1"/>
                <w:color w:val="auto"/>
              </w:rPr>
              <w:t>SUPPLEMENTAL DISCLOSURE OF CASH FLOW INFORMATION</w:t>
            </w:r>
          </w:p>
        </w:tc>
        <w:tc>
          <w:tcPr>
            <w:tcW w:w="10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r>
      <w:tr>
        <w:trPr>
          <w:trHeight w:val="168"/>
        </w:trPr>
        <w:tc>
          <w:tcPr>
            <w:tcW w:w="7840" w:type="dxa"/>
            <w:vAlign w:val="bottom"/>
          </w:tcPr>
          <w:p>
            <w:pPr>
              <w:ind w:left="20"/>
              <w:spacing w:after="0"/>
              <w:rPr>
                <w:sz w:val="20"/>
                <w:szCs w:val="20"/>
                <w:color w:val="auto"/>
              </w:rPr>
            </w:pPr>
            <w:r>
              <w:rPr>
                <w:rFonts w:ascii="Arial" w:cs="Arial" w:eastAsia="Arial" w:hAnsi="Arial"/>
                <w:sz w:val="13"/>
                <w:szCs w:val="13"/>
                <w:color w:val="auto"/>
              </w:rPr>
              <w:t>Non-cash investing and financing activities:</w:t>
            </w: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2"/>
        </w:trPr>
        <w:tc>
          <w:tcPr>
            <w:tcW w:w="7840" w:type="dxa"/>
            <w:vAlign w:val="bottom"/>
            <w:shd w:val="clear" w:color="auto" w:fill="CFF0FC"/>
          </w:tcPr>
          <w:p>
            <w:pPr>
              <w:ind w:left="220"/>
              <w:spacing w:after="0"/>
              <w:rPr>
                <w:sz w:val="20"/>
                <w:szCs w:val="20"/>
                <w:color w:val="auto"/>
              </w:rPr>
            </w:pPr>
            <w:r>
              <w:rPr>
                <w:rFonts w:ascii="Arial" w:cs="Arial" w:eastAsia="Arial" w:hAnsi="Arial"/>
                <w:sz w:val="13"/>
                <w:szCs w:val="13"/>
                <w:color w:val="auto"/>
              </w:rPr>
              <w:t>Amounts accrued for property and equipment</w:t>
            </w:r>
          </w:p>
        </w:tc>
        <w:tc>
          <w:tcPr>
            <w:tcW w:w="1060" w:type="dxa"/>
            <w:vAlign w:val="bottom"/>
            <w:shd w:val="clear" w:color="auto" w:fill="CFF0FC"/>
          </w:tcPr>
          <w:p>
            <w:pPr>
              <w:jc w:val="right"/>
              <w:ind w:right="9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jc w:val="right"/>
              <w:ind w:right="25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w:t>
            </w:r>
          </w:p>
        </w:tc>
      </w:tr>
      <w:tr>
        <w:trPr>
          <w:trHeight w:val="168"/>
        </w:trPr>
        <w:tc>
          <w:tcPr>
            <w:tcW w:w="7840" w:type="dxa"/>
            <w:vAlign w:val="bottom"/>
          </w:tcPr>
          <w:p>
            <w:pPr>
              <w:ind w:left="220"/>
              <w:spacing w:after="0"/>
              <w:rPr>
                <w:sz w:val="20"/>
                <w:szCs w:val="20"/>
                <w:color w:val="auto"/>
              </w:rPr>
            </w:pPr>
            <w:r>
              <w:rPr>
                <w:rFonts w:ascii="Arial" w:cs="Arial" w:eastAsia="Arial" w:hAnsi="Arial"/>
                <w:sz w:val="13"/>
                <w:szCs w:val="13"/>
                <w:color w:val="auto"/>
              </w:rPr>
              <w:t>Amounts accrued for issuance costs related to the sale of future royalties</w:t>
            </w:r>
          </w:p>
        </w:tc>
        <w:tc>
          <w:tcPr>
            <w:tcW w:w="1060" w:type="dxa"/>
            <w:vAlign w:val="bottom"/>
          </w:tcPr>
          <w:p>
            <w:pPr>
              <w:jc w:val="right"/>
              <w:ind w:right="91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4"/>
                <w:szCs w:val="14"/>
                <w:color w:val="auto"/>
              </w:rPr>
            </w:pP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7840" w:type="dxa"/>
            <w:vAlign w:val="bottom"/>
            <w:shd w:val="clear" w:color="auto" w:fill="CFF0FC"/>
          </w:tcPr>
          <w:p>
            <w:pPr>
              <w:ind w:left="220"/>
              <w:spacing w:after="0"/>
              <w:rPr>
                <w:sz w:val="20"/>
                <w:szCs w:val="20"/>
                <w:color w:val="auto"/>
              </w:rPr>
            </w:pPr>
            <w:r>
              <w:rPr>
                <w:rFonts w:ascii="Arial" w:cs="Arial" w:eastAsia="Arial" w:hAnsi="Arial"/>
                <w:sz w:val="13"/>
                <w:szCs w:val="13"/>
                <w:color w:val="auto"/>
              </w:rPr>
              <w:t>Receivable related to issuance of common stock, upon exercise of stock options</w:t>
            </w:r>
          </w:p>
        </w:tc>
        <w:tc>
          <w:tcPr>
            <w:tcW w:w="1060" w:type="dxa"/>
            <w:vAlign w:val="bottom"/>
            <w:shd w:val="clear" w:color="auto" w:fill="CFF0FC"/>
          </w:tcPr>
          <w:p>
            <w:pPr>
              <w:jc w:val="right"/>
              <w:ind w:right="9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jc w:val="right"/>
              <w:ind w:right="256"/>
              <w:spacing w:after="0"/>
              <w:rPr>
                <w:sz w:val="20"/>
                <w:szCs w:val="20"/>
                <w:color w:val="auto"/>
              </w:rPr>
            </w:pPr>
            <w:r>
              <w:rPr>
                <w:rFonts w:ascii="Arial" w:cs="Arial" w:eastAsia="Arial" w:hAnsi="Arial"/>
                <w:sz w:val="13"/>
                <w:szCs w:val="13"/>
                <w:color w:val="auto"/>
                <w:w w:val="82"/>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r>
      <w:tr>
        <w:trPr>
          <w:trHeight w:val="165"/>
        </w:trPr>
        <w:tc>
          <w:tcPr>
            <w:tcW w:w="7840" w:type="dxa"/>
            <w:vAlign w:val="bottom"/>
          </w:tcPr>
          <w:p>
            <w:pPr>
              <w:ind w:left="220"/>
              <w:spacing w:after="0"/>
              <w:rPr>
                <w:sz w:val="20"/>
                <w:szCs w:val="20"/>
                <w:color w:val="auto"/>
              </w:rPr>
            </w:pPr>
            <w:r>
              <w:rPr>
                <w:rFonts w:ascii="Arial" w:cs="Arial" w:eastAsia="Arial" w:hAnsi="Arial"/>
                <w:sz w:val="13"/>
                <w:szCs w:val="13"/>
                <w:color w:val="auto"/>
              </w:rPr>
              <w:t>Leased assets obtained in exchange for operating lease liabilities</w:t>
            </w:r>
          </w:p>
        </w:tc>
        <w:tc>
          <w:tcPr>
            <w:tcW w:w="1060" w:type="dxa"/>
            <w:vAlign w:val="bottom"/>
          </w:tcPr>
          <w:p>
            <w:pPr>
              <w:jc w:val="right"/>
              <w:ind w:right="917"/>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256"/>
              <w:spacing w:after="0"/>
              <w:rPr>
                <w:sz w:val="20"/>
                <w:szCs w:val="20"/>
                <w:color w:val="auto"/>
              </w:rPr>
            </w:pPr>
            <w:r>
              <w:rPr>
                <w:rFonts w:ascii="Arial" w:cs="Arial" w:eastAsia="Arial" w:hAnsi="Arial"/>
                <w:sz w:val="13"/>
                <w:szCs w:val="13"/>
                <w:color w:val="auto"/>
                <w:w w:val="82"/>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20,685</w:t>
            </w: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unaudited consolidated financial statements.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4"/>
          <w:szCs w:val="14"/>
          <w:b w:val="1"/>
          <w:bCs w:val="1"/>
          <w:color w:val="auto"/>
        </w:rPr>
        <w:t>AnaptysBio,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Unaudited Consolidated Financial Statements</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Description of the Business</w:t>
      </w:r>
    </w:p>
    <w:p>
      <w:pPr>
        <w:spacing w:after="0" w:line="98" w:lineRule="exact"/>
        <w:rPr>
          <w:sz w:val="20"/>
          <w:szCs w:val="20"/>
          <w:color w:val="auto"/>
        </w:rPr>
      </w:pPr>
    </w:p>
    <w:p>
      <w:pPr>
        <w:ind w:firstLine="382"/>
        <w:spacing w:after="0" w:line="278" w:lineRule="auto"/>
        <w:rPr>
          <w:sz w:val="20"/>
          <w:szCs w:val="20"/>
          <w:color w:val="auto"/>
        </w:rPr>
      </w:pPr>
      <w:r>
        <w:rPr>
          <w:rFonts w:ascii="Arial" w:cs="Arial" w:eastAsia="Arial" w:hAnsi="Arial"/>
          <w:sz w:val="13"/>
          <w:szCs w:val="13"/>
          <w:color w:val="auto"/>
        </w:rPr>
        <w:t xml:space="preserve">AnaptysBio, Inc. (“we,” “us,” “our,” or the “Company”) was incorporated in the state of Delaware in November 2005. We are a clinical-stage biotechnology company focused on delivering innovative immunology therapeutics. We are developing immune cell modulators, including two checkpoint agonists in clinical-stage development, for autoimmune and inflammatory disease: rosnilimab, our anti-PD-1 agonist program, previously referred to as ANB030, which is currently in a Phase 2 clinical trial for the treatment of moderate-to-severe alopecia areata; and ANB032, our anti-BTLA agonist program. In addition, we are developing imsidolimab, our anti-IL-36R antibody, which is currently in a Phase 3 clinical trial for the treatment of generalized pustular psoriasis, or GPP. We also have additional preclinical programs and discovery research of potentially innovative immunology therapeutics, including ANB033, an anti-CD122 antagonist antibody for the treatment of inflammatory diseases. We have also developed multiple therapeutic antibodies in an immuno-oncology collaboration with GSK, including an anti-PD-1 antagonist antibody (JEMPERLI (dostarlimab-gxly)), an anti-TIM-3 antagonist antibody (cobolimab, GSK4069889) and an anti-LAG-3 antagonist antibody (GSK4074386). We currently generate revenue from milestones and royalties achieved under our immuno-oncology collaboration with GSK. Our antibody pipeline has been developed using our proprietary somatic hypermutation, or SHM platform, which uses </w:t>
      </w:r>
      <w:r>
        <w:rPr>
          <w:rFonts w:ascii="Arial" w:cs="Arial" w:eastAsia="Arial" w:hAnsi="Arial"/>
          <w:sz w:val="13"/>
          <w:szCs w:val="13"/>
          <w:i w:val="1"/>
          <w:iCs w:val="1"/>
          <w:color w:val="auto"/>
        </w:rPr>
        <w:t>in</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vitro </w:t>
      </w:r>
      <w:r>
        <w:rPr>
          <w:rFonts w:ascii="Arial" w:cs="Arial" w:eastAsia="Arial" w:hAnsi="Arial"/>
          <w:sz w:val="13"/>
          <w:szCs w:val="13"/>
          <w:color w:val="auto"/>
        </w:rPr>
        <w:t>SHM for antibody discovery and is designed to replicate key features of the human immune system to overcome the limitations of competing antibody discovery technologies.</w:t>
      </w:r>
    </w:p>
    <w:p>
      <w:pPr>
        <w:spacing w:after="0" w:line="54" w:lineRule="exact"/>
        <w:rPr>
          <w:sz w:val="20"/>
          <w:szCs w:val="20"/>
          <w:color w:val="auto"/>
        </w:rPr>
      </w:pPr>
    </w:p>
    <w:p>
      <w:pPr>
        <w:ind w:right="80" w:firstLine="382"/>
        <w:spacing w:after="0" w:line="257" w:lineRule="auto"/>
        <w:rPr>
          <w:sz w:val="20"/>
          <w:szCs w:val="20"/>
          <w:color w:val="auto"/>
        </w:rPr>
      </w:pPr>
      <w:r>
        <w:rPr>
          <w:rFonts w:ascii="Arial" w:cs="Arial" w:eastAsia="Arial" w:hAnsi="Arial"/>
          <w:sz w:val="14"/>
          <w:szCs w:val="14"/>
          <w:color w:val="auto"/>
        </w:rPr>
        <w:t>Since our inception, we have devoted our primary effort to research and development activities. Our financial support has been provided primarily from the sale of our common stock, royalty monetizations, as well as through funds received under our collaborative research and development agreements.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Our management believes our currently available resources will provide sufficient funds to enable us to meet our operating plans for at least the next twelve months from the issuance of our consolidated financial statements. The accompanying consolidated financial statements do not include any adjustments that might be necessary if we are unable to continue as a going concern.</w:t>
      </w:r>
    </w:p>
    <w:p>
      <w:pPr>
        <w:spacing w:after="0" w:line="232" w:lineRule="exact"/>
        <w:rPr>
          <w:sz w:val="20"/>
          <w:szCs w:val="20"/>
          <w:color w:val="auto"/>
        </w:rPr>
      </w:pPr>
    </w:p>
    <w:p>
      <w:pPr>
        <w:ind w:left="200" w:right="8460" w:hanging="195"/>
        <w:spacing w:after="0" w:line="382" w:lineRule="auto"/>
        <w:tabs>
          <w:tab w:leader="none" w:pos="150"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Summary of Significant Accounting Policies </w:t>
      </w:r>
      <w:r>
        <w:rPr>
          <w:rFonts w:ascii="Arial" w:cs="Arial" w:eastAsia="Arial" w:hAnsi="Arial"/>
          <w:sz w:val="14"/>
          <w:szCs w:val="14"/>
          <w:b w:val="1"/>
          <w:bCs w:val="1"/>
          <w:i w:val="1"/>
          <w:iCs w:val="1"/>
          <w:color w:val="auto"/>
        </w:rPr>
        <w:t>Basis of Presentation</w:t>
      </w:r>
    </w:p>
    <w:p>
      <w:pPr>
        <w:spacing w:after="0" w:line="1" w:lineRule="exact"/>
        <w:rPr>
          <w:sz w:val="20"/>
          <w:szCs w:val="20"/>
          <w:color w:val="auto"/>
        </w:rPr>
      </w:pPr>
    </w:p>
    <w:p>
      <w:pPr>
        <w:ind w:right="60" w:firstLine="382"/>
        <w:spacing w:after="0" w:line="258" w:lineRule="auto"/>
        <w:rPr>
          <w:sz w:val="20"/>
          <w:szCs w:val="20"/>
          <w:color w:val="auto"/>
        </w:rPr>
      </w:pPr>
      <w:r>
        <w:rPr>
          <w:rFonts w:ascii="Arial" w:cs="Arial" w:eastAsia="Arial" w:hAnsi="Arial"/>
          <w:sz w:val="14"/>
          <w:szCs w:val="14"/>
          <w:color w:val="auto"/>
        </w:rPr>
        <w:t>The accompanying unaudited consolidated financial statements have been prepared pursuant to the rules and regulations of the Securities and Exchange Commission (the “SEC”). Certain information and note disclosures normally included in annual financial statements prepared in accordance with U.S. generally accepted accounting principles (“U.S. GAAP”) have been omitted. The accompanying unaudited consolidated financial statements include all known adjustments necessary for a fair presentation of the results of interim periods as required by U.S. GAAP. These adjustments consist primarily of normal recurring accruals and estimates that impact the carrying value of assets and liabilities. Operating results for the nine months ended September 30, 2022 are not necessarily indicative of the results that may be expected for the year ending December 31, 2022. The financial statements should be read in conjunction with our audited financial statements for the year ended December 31, 2021 included in our Annual Report on Form 10-K.</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Basis of Consolidation</w:t>
      </w:r>
    </w:p>
    <w:p>
      <w:pPr>
        <w:spacing w:after="0" w:line="94" w:lineRule="exact"/>
        <w:rPr>
          <w:sz w:val="20"/>
          <w:szCs w:val="20"/>
          <w:color w:val="auto"/>
        </w:rPr>
      </w:pPr>
    </w:p>
    <w:p>
      <w:pPr>
        <w:ind w:right="800" w:firstLine="382"/>
        <w:spacing w:after="0" w:line="281" w:lineRule="auto"/>
        <w:rPr>
          <w:sz w:val="20"/>
          <w:szCs w:val="20"/>
          <w:color w:val="auto"/>
        </w:rPr>
      </w:pPr>
      <w:r>
        <w:rPr>
          <w:rFonts w:ascii="Arial" w:cs="Arial" w:eastAsia="Arial" w:hAnsi="Arial"/>
          <w:sz w:val="14"/>
          <w:szCs w:val="14"/>
          <w:color w:val="auto"/>
        </w:rPr>
        <w:t>The accompanying consolidated financial statements include us and our wholly-owned Australian subsidiary. All intercompany accounts and transactions have been eliminated in consolidation. We operate in one reportable segment, and our functional and reporting currency is the U.S. dollar.</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Use of Estimates</w:t>
      </w:r>
    </w:p>
    <w:p>
      <w:pPr>
        <w:spacing w:after="0" w:line="94" w:lineRule="exact"/>
        <w:rPr>
          <w:sz w:val="20"/>
          <w:szCs w:val="20"/>
          <w:color w:val="auto"/>
        </w:rPr>
      </w:pPr>
    </w:p>
    <w:p>
      <w:pPr>
        <w:ind w:right="220" w:firstLine="382"/>
        <w:spacing w:after="0" w:line="321" w:lineRule="auto"/>
        <w:rPr>
          <w:sz w:val="20"/>
          <w:szCs w:val="20"/>
          <w:color w:val="auto"/>
        </w:rPr>
      </w:pPr>
      <w:r>
        <w:rPr>
          <w:rFonts w:ascii="Arial" w:cs="Arial" w:eastAsia="Arial" w:hAnsi="Arial"/>
          <w:sz w:val="13"/>
          <w:szCs w:val="13"/>
          <w:color w:val="auto"/>
        </w:rPr>
        <w:t>The preparation of the accompanying consolidated financial statements in conformity with U.S. GAAP requires our management to make estimates and assumptions that affect the reported amounts of assets and liabilities, disclosure of contingent assets and liabilities at the date of the financial statements, and reported amounts of revenues and expenses during</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28" w:right="339" w:bottom="1440" w:gutter="0" w:footer="0" w:header="0"/>
        </w:sectPr>
      </w:pPr>
    </w:p>
    <w:bookmarkStart w:id="9" w:name="page10"/>
    <w:bookmarkEnd w:id="9"/>
    <w:p>
      <w:pPr>
        <w:ind w:right="40"/>
        <w:spacing w:after="0" w:line="284" w:lineRule="auto"/>
        <w:rPr>
          <w:sz w:val="20"/>
          <w:szCs w:val="20"/>
          <w:color w:val="auto"/>
        </w:rPr>
      </w:pPr>
      <w:r>
        <w:rPr>
          <w:rFonts w:ascii="Arial" w:cs="Arial" w:eastAsia="Arial" w:hAnsi="Arial"/>
          <w:sz w:val="13"/>
          <w:szCs w:val="13"/>
          <w:color w:val="auto"/>
        </w:rPr>
        <w:t>the reporting periods. Actual results could differ from those estimates. We base our estimates and assumptions on historical experience when available and on various factors that we believe to be reasonable under the circumstances. We evaluate our estimates and assumptions on an ongoing basis. The full extent to which the COVID-19 pandemic will directly or indirectly impact our business, results of operations, and financial condition, including expenses, reserves and allowances, manufacturing, clinical trials, research and development costs, and employee-related amounts, will depend on future developments that are highly uncertain, including as a result of new information that may emerge concerning COVID-19 and the actions taken to contain or treat it, as well as the economic impact on local, regional, national and international markets. Our actual results could differ from these estimates under different assumptions or conditions.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Net Loss Per Common Share</w:t>
      </w:r>
    </w:p>
    <w:p>
      <w:pPr>
        <w:spacing w:after="0" w:line="94" w:lineRule="exact"/>
        <w:rPr>
          <w:sz w:val="20"/>
          <w:szCs w:val="20"/>
          <w:color w:val="auto"/>
        </w:rPr>
      </w:pPr>
    </w:p>
    <w:p>
      <w:pPr>
        <w:ind w:right="80" w:firstLine="382"/>
        <w:spacing w:after="0" w:line="297" w:lineRule="auto"/>
        <w:rPr>
          <w:sz w:val="20"/>
          <w:szCs w:val="20"/>
          <w:color w:val="auto"/>
        </w:rPr>
      </w:pPr>
      <w:r>
        <w:rPr>
          <w:rFonts w:ascii="Arial" w:cs="Arial" w:eastAsia="Arial" w:hAnsi="Arial"/>
          <w:sz w:val="13"/>
          <w:szCs w:val="13"/>
          <w:color w:val="auto"/>
        </w:rPr>
        <w:t>Basic net loss per common share is computed by dividing net loss by the weighted-average number of common shares outstanding during the period. Diluted net loss per share is computed by dividing net loss by the weighted-average number of common equivalent shares outstanding for the period, as well as any dilutive effect from outstanding stock options and warrants using the treasury stock method. For each period presented, there is no difference in the number of shares used to calculate basic and diluted net loss per share.</w:t>
      </w:r>
    </w:p>
    <w:p>
      <w:pPr>
        <w:spacing w:after="0" w:line="39" w:lineRule="exact"/>
        <w:rPr>
          <w:sz w:val="20"/>
          <w:szCs w:val="20"/>
          <w:color w:val="auto"/>
        </w:rPr>
      </w:pPr>
    </w:p>
    <w:p>
      <w:pPr>
        <w:ind w:right="80" w:firstLine="382"/>
        <w:spacing w:after="0" w:line="281" w:lineRule="auto"/>
        <w:rPr>
          <w:sz w:val="20"/>
          <w:szCs w:val="20"/>
          <w:color w:val="auto"/>
        </w:rPr>
      </w:pPr>
      <w:r>
        <w:rPr>
          <w:rFonts w:ascii="Arial" w:cs="Arial" w:eastAsia="Arial" w:hAnsi="Arial"/>
          <w:sz w:val="14"/>
          <w:szCs w:val="14"/>
          <w:color w:val="auto"/>
        </w:rPr>
        <w:t>The following table sets forth the weighted-average outstanding potentially dilutive securities that have been excluded in the calculation of diluted net loss per share because to do so would be anti-dilutive (in common stock equivalent shares):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780" w:type="dxa"/>
            <w:vAlign w:val="bottom"/>
          </w:tcPr>
          <w:p>
            <w:pPr>
              <w:spacing w:after="0"/>
              <w:rPr>
                <w:sz w:val="10"/>
                <w:szCs w:val="10"/>
                <w:color w:val="auto"/>
              </w:rPr>
            </w:pPr>
          </w:p>
        </w:tc>
        <w:tc>
          <w:tcPr>
            <w:tcW w:w="1900" w:type="dxa"/>
            <w:vAlign w:val="bottom"/>
            <w:gridSpan w:val="3"/>
          </w:tcPr>
          <w:p>
            <w:pPr>
              <w:jc w:val="center"/>
              <w:ind w:left="740"/>
              <w:spacing w:after="0"/>
              <w:rPr>
                <w:sz w:val="20"/>
                <w:szCs w:val="20"/>
                <w:color w:val="auto"/>
              </w:rPr>
            </w:pPr>
            <w:r>
              <w:rPr>
                <w:rFonts w:ascii="Arial" w:cs="Arial" w:eastAsia="Arial" w:hAnsi="Arial"/>
                <w:sz w:val="11"/>
                <w:szCs w:val="11"/>
                <w:b w:val="1"/>
                <w:bCs w:val="1"/>
                <w:color w:val="auto"/>
                <w:w w:val="93"/>
              </w:rPr>
              <w:t>Three Months Ended</w:t>
            </w: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00" w:type="dxa"/>
            <w:vAlign w:val="bottom"/>
            <w:gridSpan w:val="6"/>
          </w:tcPr>
          <w:p>
            <w:pPr>
              <w:jc w:val="right"/>
              <w:ind w:right="792"/>
              <w:spacing w:after="0"/>
              <w:rPr>
                <w:sz w:val="20"/>
                <w:szCs w:val="20"/>
                <w:color w:val="auto"/>
              </w:rPr>
            </w:pPr>
            <w:r>
              <w:rPr>
                <w:rFonts w:ascii="Arial" w:cs="Arial" w:eastAsia="Arial" w:hAnsi="Arial"/>
                <w:sz w:val="11"/>
                <w:szCs w:val="11"/>
                <w:b w:val="1"/>
                <w:bCs w:val="1"/>
                <w:color w:val="auto"/>
              </w:rPr>
              <w:t>Nine Months Ended</w:t>
            </w:r>
          </w:p>
        </w:tc>
        <w:tc>
          <w:tcPr>
            <w:tcW w:w="0" w:type="dxa"/>
            <w:vAlign w:val="bottom"/>
          </w:tcPr>
          <w:p>
            <w:pPr>
              <w:spacing w:after="0"/>
              <w:rPr>
                <w:sz w:val="1"/>
                <w:szCs w:val="1"/>
                <w:color w:val="auto"/>
              </w:rPr>
            </w:pPr>
          </w:p>
        </w:tc>
      </w:tr>
      <w:tr>
        <w:trPr>
          <w:trHeight w:val="150"/>
        </w:trPr>
        <w:tc>
          <w:tcPr>
            <w:tcW w:w="5780" w:type="dxa"/>
            <w:vAlign w:val="bottom"/>
          </w:tcPr>
          <w:p>
            <w:pPr>
              <w:spacing w:after="0"/>
              <w:rPr>
                <w:sz w:val="13"/>
                <w:szCs w:val="13"/>
                <w:color w:val="auto"/>
              </w:rPr>
            </w:pPr>
          </w:p>
        </w:tc>
        <w:tc>
          <w:tcPr>
            <w:tcW w:w="1900" w:type="dxa"/>
            <w:vAlign w:val="bottom"/>
            <w:tcBorders>
              <w:bottom w:val="single" w:sz="8" w:color="auto"/>
            </w:tcBorders>
            <w:gridSpan w:val="3"/>
          </w:tcPr>
          <w:p>
            <w:pPr>
              <w:jc w:val="center"/>
              <w:ind w:left="740"/>
              <w:spacing w:after="0"/>
              <w:rPr>
                <w:sz w:val="20"/>
                <w:szCs w:val="20"/>
                <w:color w:val="auto"/>
              </w:rPr>
            </w:pPr>
            <w:r>
              <w:rPr>
                <w:rFonts w:ascii="Arial" w:cs="Arial" w:eastAsia="Arial" w:hAnsi="Arial"/>
                <w:sz w:val="11"/>
                <w:szCs w:val="11"/>
                <w:b w:val="1"/>
                <w:bCs w:val="1"/>
                <w:color w:val="auto"/>
                <w:w w:val="93"/>
              </w:rPr>
              <w:t>September 30,</w:t>
            </w: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5"/>
          </w:tcPr>
          <w:p>
            <w:pPr>
              <w:jc w:val="right"/>
              <w:ind w:right="932"/>
              <w:spacing w:after="0"/>
              <w:rPr>
                <w:sz w:val="20"/>
                <w:szCs w:val="20"/>
                <w:color w:val="auto"/>
              </w:rPr>
            </w:pPr>
            <w:r>
              <w:rPr>
                <w:rFonts w:ascii="Arial" w:cs="Arial" w:eastAsia="Arial" w:hAnsi="Arial"/>
                <w:sz w:val="11"/>
                <w:szCs w:val="11"/>
                <w:b w:val="1"/>
                <w:bCs w:val="1"/>
                <w:color w:val="auto"/>
                <w:w w:val="90"/>
              </w:rPr>
              <w:t>September 30,</w:t>
            </w:r>
          </w:p>
        </w:tc>
        <w:tc>
          <w:tcPr>
            <w:tcW w:w="0" w:type="dxa"/>
            <w:vAlign w:val="bottom"/>
          </w:tcPr>
          <w:p>
            <w:pPr>
              <w:spacing w:after="0"/>
              <w:rPr>
                <w:sz w:val="1"/>
                <w:szCs w:val="1"/>
                <w:color w:val="auto"/>
              </w:rPr>
            </w:pPr>
          </w:p>
        </w:tc>
      </w:tr>
      <w:tr>
        <w:trPr>
          <w:trHeight w:val="153"/>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1300" w:type="dxa"/>
            <w:vAlign w:val="bottom"/>
            <w:tcBorders>
              <w:bottom w:val="single" w:sz="8" w:color="auto"/>
            </w:tcBorders>
          </w:tcPr>
          <w:p>
            <w:pPr>
              <w:jc w:val="right"/>
              <w:ind w:right="480"/>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2021</w:t>
            </w:r>
          </w:p>
        </w:tc>
        <w:tc>
          <w:tcPr>
            <w:tcW w:w="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171"/>
              <w:spacing w:after="0"/>
              <w:rPr>
                <w:sz w:val="20"/>
                <w:szCs w:val="20"/>
                <w:color w:val="auto"/>
              </w:rPr>
            </w:pPr>
            <w:r>
              <w:rPr>
                <w:rFonts w:ascii="Arial" w:cs="Arial" w:eastAsia="Arial" w:hAnsi="Arial"/>
                <w:sz w:val="11"/>
                <w:szCs w:val="11"/>
                <w:b w:val="1"/>
                <w:bCs w:val="1"/>
                <w:color w:val="auto"/>
              </w:rPr>
              <w:t>2022</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jc w:val="right"/>
              <w:ind w:right="472"/>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77"/>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Options to purchase common stock</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3,717</w:t>
            </w:r>
          </w:p>
        </w:tc>
        <w:tc>
          <w:tcPr>
            <w:tcW w:w="100" w:type="dxa"/>
            <w:vAlign w:val="bottom"/>
            <w:shd w:val="clear" w:color="auto" w:fill="CCEEFF"/>
          </w:tcPr>
          <w:p>
            <w:pPr>
              <w:spacing w:after="0"/>
              <w:rPr>
                <w:sz w:val="15"/>
                <w:szCs w:val="15"/>
                <w:color w:val="auto"/>
              </w:rPr>
            </w:pPr>
          </w:p>
        </w:tc>
        <w:tc>
          <w:tcPr>
            <w:tcW w:w="13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3,953</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3,655</w:t>
            </w:r>
          </w:p>
        </w:tc>
        <w:tc>
          <w:tcPr>
            <w:tcW w:w="0" w:type="dxa"/>
            <w:vAlign w:val="bottom"/>
          </w:tcPr>
          <w:p>
            <w:pPr>
              <w:spacing w:after="0"/>
              <w:rPr>
                <w:sz w:val="1"/>
                <w:szCs w:val="1"/>
                <w:color w:val="auto"/>
              </w:rPr>
            </w:pPr>
          </w:p>
        </w:tc>
      </w:tr>
      <w:tr>
        <w:trPr>
          <w:trHeight w:val="488"/>
        </w:trPr>
        <w:tc>
          <w:tcPr>
            <w:tcW w:w="5780" w:type="dxa"/>
            <w:vAlign w:val="bottom"/>
          </w:tcPr>
          <w:p>
            <w:pPr>
              <w:spacing w:after="0"/>
              <w:rPr>
                <w:sz w:val="20"/>
                <w:szCs w:val="20"/>
                <w:color w:val="auto"/>
              </w:rPr>
            </w:pPr>
            <w:r>
              <w:rPr>
                <w:rFonts w:ascii="Arial" w:cs="Arial" w:eastAsia="Arial" w:hAnsi="Arial"/>
                <w:sz w:val="14"/>
                <w:szCs w:val="14"/>
                <w:b w:val="1"/>
                <w:bCs w:val="1"/>
                <w:color w:val="auto"/>
              </w:rPr>
              <w:t>3. Balance Sheet Accounts and Supplemental Disclosures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780" w:type="dxa"/>
            <w:vAlign w:val="bottom"/>
          </w:tcPr>
          <w:p>
            <w:pPr>
              <w:ind w:left="200"/>
              <w:spacing w:after="0"/>
              <w:rPr>
                <w:sz w:val="20"/>
                <w:szCs w:val="20"/>
                <w:color w:val="auto"/>
              </w:rPr>
            </w:pPr>
            <w:r>
              <w:rPr>
                <w:rFonts w:ascii="Arial" w:cs="Arial" w:eastAsia="Arial" w:hAnsi="Arial"/>
                <w:sz w:val="14"/>
                <w:szCs w:val="14"/>
                <w:b w:val="1"/>
                <w:bCs w:val="1"/>
                <w:i w:val="1"/>
                <w:iCs w:val="1"/>
                <w:color w:val="auto"/>
              </w:rPr>
              <w:t>Property and Equipment, net</w:t>
            </w: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780" w:type="dxa"/>
            <w:vAlign w:val="bottom"/>
          </w:tcPr>
          <w:p>
            <w:pPr>
              <w:ind w:left="300"/>
              <w:spacing w:after="0"/>
              <w:rPr>
                <w:sz w:val="20"/>
                <w:szCs w:val="20"/>
                <w:color w:val="auto"/>
              </w:rPr>
            </w:pPr>
            <w:r>
              <w:rPr>
                <w:rFonts w:ascii="Arial" w:cs="Arial" w:eastAsia="Arial" w:hAnsi="Arial"/>
                <w:sz w:val="14"/>
                <w:szCs w:val="14"/>
                <w:color w:val="auto"/>
              </w:rPr>
              <w:t>Property and equipment, net consist of the following:</w:t>
            </w: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5780" w:type="dxa"/>
            <w:vAlign w:val="bottom"/>
            <w:tcBorders>
              <w:bottom w:val="single" w:sz="8" w:color="CFF0FC"/>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130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50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ind w:right="251"/>
              <w:spacing w:after="0"/>
              <w:rPr>
                <w:sz w:val="20"/>
                <w:szCs w:val="20"/>
                <w:color w:val="auto"/>
              </w:rPr>
            </w:pPr>
            <w:r>
              <w:rPr>
                <w:rFonts w:ascii="Arial" w:cs="Arial" w:eastAsia="Arial" w:hAnsi="Arial"/>
                <w:sz w:val="11"/>
                <w:szCs w:val="11"/>
                <w:b w:val="1"/>
                <w:bCs w:val="1"/>
                <w:color w:val="auto"/>
              </w:rPr>
              <w:t>September 30, 2022</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72"/>
              <w:spacing w:after="0"/>
              <w:rPr>
                <w:sz w:val="20"/>
                <w:szCs w:val="20"/>
                <w:color w:val="auto"/>
              </w:rPr>
            </w:pPr>
            <w:r>
              <w:rPr>
                <w:rFonts w:ascii="Arial" w:cs="Arial" w:eastAsia="Arial" w:hAnsi="Arial"/>
                <w:sz w:val="11"/>
                <w:szCs w:val="11"/>
                <w:b w:val="1"/>
                <w:bCs w:val="1"/>
                <w:color w:val="auto"/>
                <w:w w:val="94"/>
              </w:rPr>
              <w:t>December 31, 2021</w:t>
            </w:r>
          </w:p>
        </w:tc>
        <w:tc>
          <w:tcPr>
            <w:tcW w:w="0" w:type="dxa"/>
            <w:vAlign w:val="bottom"/>
          </w:tcPr>
          <w:p>
            <w:pPr>
              <w:spacing w:after="0"/>
              <w:rPr>
                <w:sz w:val="1"/>
                <w:szCs w:val="1"/>
                <w:color w:val="auto"/>
              </w:rPr>
            </w:pPr>
          </w:p>
        </w:tc>
      </w:tr>
      <w:tr>
        <w:trPr>
          <w:trHeight w:val="180"/>
        </w:trPr>
        <w:tc>
          <w:tcPr>
            <w:tcW w:w="5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Laboratory equipment</w:t>
            </w: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356"/>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5,759</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5,683</w:t>
            </w:r>
          </w:p>
        </w:tc>
        <w:tc>
          <w:tcPr>
            <w:tcW w:w="0" w:type="dxa"/>
            <w:vAlign w:val="bottom"/>
          </w:tcPr>
          <w:p>
            <w:pPr>
              <w:spacing w:after="0"/>
              <w:rPr>
                <w:sz w:val="1"/>
                <w:szCs w:val="1"/>
                <w:color w:val="auto"/>
              </w:rPr>
            </w:pPr>
          </w:p>
        </w:tc>
      </w:tr>
      <w:tr>
        <w:trPr>
          <w:trHeight w:val="180"/>
        </w:trPr>
        <w:tc>
          <w:tcPr>
            <w:tcW w:w="5780" w:type="dxa"/>
            <w:vAlign w:val="bottom"/>
          </w:tcPr>
          <w:p>
            <w:pPr>
              <w:ind w:left="20"/>
              <w:spacing w:after="0"/>
              <w:rPr>
                <w:sz w:val="20"/>
                <w:szCs w:val="20"/>
                <w:color w:val="auto"/>
              </w:rPr>
            </w:pPr>
            <w:r>
              <w:rPr>
                <w:rFonts w:ascii="Arial" w:cs="Arial" w:eastAsia="Arial" w:hAnsi="Arial"/>
                <w:sz w:val="14"/>
                <w:szCs w:val="14"/>
                <w:color w:val="auto"/>
              </w:rPr>
              <w:t>Office furniture and equipment</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1,422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1,319</w:t>
            </w:r>
          </w:p>
        </w:tc>
        <w:tc>
          <w:tcPr>
            <w:tcW w:w="0" w:type="dxa"/>
            <w:vAlign w:val="bottom"/>
          </w:tcPr>
          <w:p>
            <w:pPr>
              <w:spacing w:after="0"/>
              <w:rPr>
                <w:sz w:val="1"/>
                <w:szCs w:val="1"/>
                <w:color w:val="auto"/>
              </w:rPr>
            </w:pPr>
          </w:p>
        </w:tc>
      </w:tr>
      <w:tr>
        <w:trPr>
          <w:trHeight w:val="181"/>
        </w:trPr>
        <w:tc>
          <w:tcPr>
            <w:tcW w:w="5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Leasehold improvements</w:t>
            </w: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203</w:t>
            </w:r>
          </w:p>
        </w:tc>
        <w:tc>
          <w:tcPr>
            <w:tcW w:w="20" w:type="dxa"/>
            <w:vAlign w:val="bottom"/>
            <w:tcBorders>
              <w:bottom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71"/>
        </w:trPr>
        <w:tc>
          <w:tcPr>
            <w:tcW w:w="5780" w:type="dxa"/>
            <w:vAlign w:val="bottom"/>
          </w:tcPr>
          <w:p>
            <w:pPr>
              <w:ind w:left="180"/>
              <w:spacing w:after="0"/>
              <w:rPr>
                <w:sz w:val="20"/>
                <w:szCs w:val="20"/>
                <w:color w:val="auto"/>
              </w:rPr>
            </w:pPr>
            <w:r>
              <w:rPr>
                <w:rFonts w:ascii="Arial" w:cs="Arial" w:eastAsia="Arial" w:hAnsi="Arial"/>
                <w:sz w:val="14"/>
                <w:szCs w:val="14"/>
                <w:color w:val="auto"/>
              </w:rPr>
              <w:t>Property and equipment, gross</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7,384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7,205</w:t>
            </w:r>
          </w:p>
        </w:tc>
        <w:tc>
          <w:tcPr>
            <w:tcW w:w="0" w:type="dxa"/>
            <w:vAlign w:val="bottom"/>
          </w:tcPr>
          <w:p>
            <w:pPr>
              <w:spacing w:after="0"/>
              <w:rPr>
                <w:sz w:val="1"/>
                <w:szCs w:val="1"/>
                <w:color w:val="auto"/>
              </w:rPr>
            </w:pPr>
          </w:p>
        </w:tc>
      </w:tr>
      <w:tr>
        <w:trPr>
          <w:trHeight w:val="181"/>
        </w:trPr>
        <w:tc>
          <w:tcPr>
            <w:tcW w:w="5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Less: accumulated depreciation and amortization</w:t>
            </w: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(5,412)</w:t>
            </w:r>
          </w:p>
        </w:tc>
        <w:tc>
          <w:tcPr>
            <w:tcW w:w="20" w:type="dxa"/>
            <w:vAlign w:val="bottom"/>
            <w:tcBorders>
              <w:bottom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(4,922)</w:t>
            </w:r>
          </w:p>
        </w:tc>
        <w:tc>
          <w:tcPr>
            <w:tcW w:w="0" w:type="dxa"/>
            <w:vAlign w:val="bottom"/>
          </w:tcPr>
          <w:p>
            <w:pPr>
              <w:spacing w:after="0"/>
              <w:rPr>
                <w:sz w:val="1"/>
                <w:szCs w:val="1"/>
                <w:color w:val="auto"/>
              </w:rPr>
            </w:pPr>
          </w:p>
        </w:tc>
      </w:tr>
      <w:tr>
        <w:trPr>
          <w:trHeight w:val="171"/>
        </w:trPr>
        <w:tc>
          <w:tcPr>
            <w:tcW w:w="5780" w:type="dxa"/>
            <w:vAlign w:val="bottom"/>
          </w:tcPr>
          <w:p>
            <w:pPr>
              <w:ind w:left="180"/>
              <w:spacing w:after="0"/>
              <w:rPr>
                <w:sz w:val="20"/>
                <w:szCs w:val="20"/>
                <w:color w:val="auto"/>
              </w:rPr>
            </w:pPr>
            <w:r>
              <w:rPr>
                <w:rFonts w:ascii="Arial" w:cs="Arial" w:eastAsia="Arial" w:hAnsi="Arial"/>
                <w:sz w:val="14"/>
                <w:szCs w:val="14"/>
                <w:color w:val="auto"/>
              </w:rPr>
              <w:t>Total property and equipment, net</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Borders>
              <w:bottom w:val="single" w:sz="8" w:color="auto"/>
            </w:tcBorders>
            <w:gridSpan w:val="2"/>
          </w:tcPr>
          <w:p>
            <w:pPr>
              <w:jc w:val="right"/>
              <w:ind w:right="356"/>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1,972</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2,283</w:t>
            </w:r>
          </w:p>
        </w:tc>
        <w:tc>
          <w:tcPr>
            <w:tcW w:w="0" w:type="dxa"/>
            <w:vAlign w:val="bottom"/>
          </w:tcPr>
          <w:p>
            <w:pPr>
              <w:spacing w:after="0"/>
              <w:rPr>
                <w:sz w:val="1"/>
                <w:szCs w:val="1"/>
                <w:color w:val="auto"/>
              </w:rPr>
            </w:pPr>
          </w:p>
        </w:tc>
      </w:tr>
      <w:tr>
        <w:trPr>
          <w:trHeight w:val="20"/>
        </w:trPr>
        <w:tc>
          <w:tcPr>
            <w:tcW w:w="5780" w:type="dxa"/>
            <w:vAlign w:val="bottom"/>
            <w:vMerge w:val="restart"/>
          </w:tcPr>
          <w:p>
            <w:pPr>
              <w:ind w:left="200"/>
              <w:spacing w:after="0"/>
              <w:rPr>
                <w:sz w:val="20"/>
                <w:szCs w:val="20"/>
                <w:color w:val="auto"/>
              </w:rPr>
            </w:pPr>
            <w:r>
              <w:rPr>
                <w:rFonts w:ascii="Arial" w:cs="Arial" w:eastAsia="Arial" w:hAnsi="Arial"/>
                <w:sz w:val="14"/>
                <w:szCs w:val="14"/>
                <w:b w:val="1"/>
                <w:bCs w:val="1"/>
                <w:i w:val="1"/>
                <w:iCs w:val="1"/>
                <w:color w:val="auto"/>
              </w:rPr>
              <w:t>Accrued Expenses</w:t>
            </w: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578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780" w:type="dxa"/>
            <w:vAlign w:val="bottom"/>
          </w:tcPr>
          <w:p>
            <w:pPr>
              <w:ind w:left="300"/>
              <w:spacing w:after="0"/>
              <w:rPr>
                <w:sz w:val="20"/>
                <w:szCs w:val="20"/>
                <w:color w:val="auto"/>
              </w:rPr>
            </w:pPr>
            <w:r>
              <w:rPr>
                <w:rFonts w:ascii="Arial" w:cs="Arial" w:eastAsia="Arial" w:hAnsi="Arial"/>
                <w:sz w:val="14"/>
                <w:szCs w:val="14"/>
                <w:color w:val="auto"/>
              </w:rPr>
              <w:t>Accrued expenses consist of the following:</w:t>
            </w: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5780" w:type="dxa"/>
            <w:vAlign w:val="bottom"/>
            <w:tcBorders>
              <w:bottom w:val="single" w:sz="8" w:color="CFF0FC"/>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130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500" w:type="dxa"/>
            <w:vAlign w:val="bottom"/>
            <w:tcBorders>
              <w:bottom w:val="single" w:sz="8" w:color="CFF0FC"/>
            </w:tcBorders>
          </w:tcPr>
          <w:p>
            <w:pPr>
              <w:spacing w:after="0"/>
              <w:rPr>
                <w:sz w:val="20"/>
                <w:szCs w:val="20"/>
                <w:color w:val="auto"/>
              </w:rPr>
            </w:pPr>
          </w:p>
        </w:tc>
        <w:tc>
          <w:tcPr>
            <w:tcW w:w="30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1540" w:type="dxa"/>
            <w:vAlign w:val="bottom"/>
            <w:tcBorders>
              <w:bottom w:val="single" w:sz="8" w:color="auto"/>
            </w:tcBorders>
            <w:gridSpan w:val="3"/>
          </w:tcPr>
          <w:p>
            <w:pPr>
              <w:jc w:val="right"/>
              <w:ind w:right="211"/>
              <w:spacing w:after="0"/>
              <w:rPr>
                <w:sz w:val="20"/>
                <w:szCs w:val="20"/>
                <w:color w:val="auto"/>
              </w:rPr>
            </w:pPr>
            <w:r>
              <w:rPr>
                <w:rFonts w:ascii="Arial" w:cs="Arial" w:eastAsia="Arial" w:hAnsi="Arial"/>
                <w:sz w:val="11"/>
                <w:szCs w:val="11"/>
                <w:b w:val="1"/>
                <w:bCs w:val="1"/>
                <w:color w:val="auto"/>
              </w:rPr>
              <w:t>September 30, 2022</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72"/>
              <w:spacing w:after="0"/>
              <w:rPr>
                <w:sz w:val="20"/>
                <w:szCs w:val="20"/>
                <w:color w:val="auto"/>
              </w:rPr>
            </w:pPr>
            <w:r>
              <w:rPr>
                <w:rFonts w:ascii="Arial" w:cs="Arial" w:eastAsia="Arial" w:hAnsi="Arial"/>
                <w:sz w:val="11"/>
                <w:szCs w:val="11"/>
                <w:b w:val="1"/>
                <w:bCs w:val="1"/>
                <w:color w:val="auto"/>
                <w:w w:val="94"/>
              </w:rPr>
              <w:t>December 31, 2021</w:t>
            </w:r>
          </w:p>
        </w:tc>
        <w:tc>
          <w:tcPr>
            <w:tcW w:w="0" w:type="dxa"/>
            <w:vAlign w:val="bottom"/>
          </w:tcPr>
          <w:p>
            <w:pPr>
              <w:spacing w:after="0"/>
              <w:rPr>
                <w:sz w:val="1"/>
                <w:szCs w:val="1"/>
                <w:color w:val="auto"/>
              </w:rPr>
            </w:pPr>
          </w:p>
        </w:tc>
      </w:tr>
      <w:tr>
        <w:trPr>
          <w:trHeight w:val="180"/>
        </w:trPr>
        <w:tc>
          <w:tcPr>
            <w:tcW w:w="5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Accrued compensation and related expenses</w:t>
            </w: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360" w:type="dxa"/>
            <w:vAlign w:val="bottom"/>
            <w:gridSpan w:val="2"/>
            <w:shd w:val="clear" w:color="auto" w:fill="CFF0FC"/>
          </w:tcPr>
          <w:p>
            <w:pPr>
              <w:spacing w:after="0"/>
              <w:rPr>
                <w:sz w:val="15"/>
                <w:szCs w:val="15"/>
                <w:color w:val="auto"/>
              </w:rPr>
            </w:pPr>
          </w:p>
        </w:tc>
        <w:tc>
          <w:tcPr>
            <w:tcW w:w="440" w:type="dxa"/>
            <w:vAlign w:val="bottom"/>
            <w:shd w:val="clear" w:color="auto" w:fill="CFF0FC"/>
          </w:tcPr>
          <w:p>
            <w:pPr>
              <w:jc w:val="right"/>
              <w:ind w:right="276"/>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3,904</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4,177</w:t>
            </w:r>
          </w:p>
        </w:tc>
        <w:tc>
          <w:tcPr>
            <w:tcW w:w="0" w:type="dxa"/>
            <w:vAlign w:val="bottom"/>
          </w:tcPr>
          <w:p>
            <w:pPr>
              <w:spacing w:after="0"/>
              <w:rPr>
                <w:sz w:val="1"/>
                <w:szCs w:val="1"/>
                <w:color w:val="auto"/>
              </w:rPr>
            </w:pPr>
          </w:p>
        </w:tc>
      </w:tr>
      <w:tr>
        <w:trPr>
          <w:trHeight w:val="180"/>
        </w:trPr>
        <w:tc>
          <w:tcPr>
            <w:tcW w:w="5780" w:type="dxa"/>
            <w:vAlign w:val="bottom"/>
          </w:tcPr>
          <w:p>
            <w:pPr>
              <w:ind w:left="20"/>
              <w:spacing w:after="0"/>
              <w:rPr>
                <w:sz w:val="20"/>
                <w:szCs w:val="20"/>
                <w:color w:val="auto"/>
              </w:rPr>
            </w:pPr>
            <w:r>
              <w:rPr>
                <w:rFonts w:ascii="Arial" w:cs="Arial" w:eastAsia="Arial" w:hAnsi="Arial"/>
                <w:sz w:val="14"/>
                <w:szCs w:val="14"/>
                <w:color w:val="auto"/>
              </w:rPr>
              <w:t>Accrued professional fees</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569</w:t>
            </w:r>
          </w:p>
        </w:tc>
        <w:tc>
          <w:tcPr>
            <w:tcW w:w="0" w:type="dxa"/>
            <w:vAlign w:val="bottom"/>
          </w:tcPr>
          <w:p>
            <w:pPr>
              <w:spacing w:after="0"/>
              <w:rPr>
                <w:sz w:val="1"/>
                <w:szCs w:val="1"/>
                <w:color w:val="auto"/>
              </w:rPr>
            </w:pPr>
          </w:p>
        </w:tc>
      </w:tr>
      <w:tr>
        <w:trPr>
          <w:trHeight w:val="181"/>
        </w:trPr>
        <w:tc>
          <w:tcPr>
            <w:tcW w:w="5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Accrued research, development and manufacturing expenses</w:t>
            </w: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11,412</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7,953</w:t>
            </w:r>
          </w:p>
        </w:tc>
        <w:tc>
          <w:tcPr>
            <w:tcW w:w="0" w:type="dxa"/>
            <w:vAlign w:val="bottom"/>
          </w:tcPr>
          <w:p>
            <w:pPr>
              <w:spacing w:after="0"/>
              <w:rPr>
                <w:sz w:val="1"/>
                <w:szCs w:val="1"/>
                <w:color w:val="auto"/>
              </w:rPr>
            </w:pPr>
          </w:p>
        </w:tc>
      </w:tr>
      <w:tr>
        <w:trPr>
          <w:trHeight w:val="180"/>
        </w:trPr>
        <w:tc>
          <w:tcPr>
            <w:tcW w:w="5780" w:type="dxa"/>
            <w:vAlign w:val="bottom"/>
            <w:tcBorders>
              <w:bottom w:val="single" w:sz="8" w:color="CFF0FC"/>
            </w:tcBorders>
          </w:tcPr>
          <w:p>
            <w:pPr>
              <w:ind w:left="20"/>
              <w:spacing w:after="0"/>
              <w:rPr>
                <w:sz w:val="20"/>
                <w:szCs w:val="20"/>
                <w:color w:val="auto"/>
              </w:rPr>
            </w:pPr>
            <w:r>
              <w:rPr>
                <w:rFonts w:ascii="Arial" w:cs="Arial" w:eastAsia="Arial" w:hAnsi="Arial"/>
                <w:sz w:val="14"/>
                <w:szCs w:val="14"/>
                <w:color w:val="auto"/>
              </w:rPr>
              <w:t>Other</w:t>
            </w:r>
          </w:p>
        </w:tc>
        <w:tc>
          <w:tcPr>
            <w:tcW w:w="130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500" w:type="dxa"/>
            <w:vAlign w:val="bottom"/>
            <w:tcBorders>
              <w:bottom w:val="single" w:sz="8" w:color="CFF0FC"/>
            </w:tcBorders>
          </w:tcPr>
          <w:p>
            <w:pPr>
              <w:spacing w:after="0"/>
              <w:rPr>
                <w:sz w:val="15"/>
                <w:szCs w:val="15"/>
                <w:color w:val="auto"/>
              </w:rPr>
            </w:pPr>
          </w:p>
        </w:tc>
        <w:tc>
          <w:tcPr>
            <w:tcW w:w="30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96"/>
        </w:trPr>
        <w:tc>
          <w:tcPr>
            <w:tcW w:w="578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4"/>
                <w:szCs w:val="14"/>
                <w:color w:val="auto"/>
              </w:rPr>
              <w:t>Total accrued expenses</w:t>
            </w:r>
          </w:p>
        </w:tc>
        <w:tc>
          <w:tcPr>
            <w:tcW w:w="13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CFF0FC"/>
            </w:tcBorders>
            <w:gridSpan w:val="2"/>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jc w:val="right"/>
              <w:ind w:right="276"/>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16,453</w:t>
            </w:r>
          </w:p>
        </w:tc>
        <w:tc>
          <w:tcPr>
            <w:tcW w:w="2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12,853</w:t>
            </w:r>
          </w:p>
        </w:tc>
        <w:tc>
          <w:tcPr>
            <w:tcW w:w="0" w:type="dxa"/>
            <w:vAlign w:val="bottom"/>
          </w:tcPr>
          <w:p>
            <w:pPr>
              <w:spacing w:after="0"/>
              <w:rPr>
                <w:sz w:val="1"/>
                <w:szCs w:val="1"/>
                <w:color w:val="auto"/>
              </w:rPr>
            </w:pPr>
          </w:p>
        </w:tc>
      </w:tr>
      <w:tr>
        <w:trPr>
          <w:trHeight w:val="20"/>
        </w:trPr>
        <w:tc>
          <w:tcPr>
            <w:tcW w:w="578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13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10" w:name="page11"/>
    <w:bookmarkEnd w:id="10"/>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Collaborative Research and Development Agreements</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GlaxoSmithKline Collaboration</w:t>
      </w:r>
    </w:p>
    <w:p>
      <w:pPr>
        <w:spacing w:after="0" w:line="83" w:lineRule="exact"/>
        <w:rPr>
          <w:sz w:val="20"/>
          <w:szCs w:val="20"/>
          <w:color w:val="auto"/>
        </w:rPr>
      </w:pPr>
    </w:p>
    <w:p>
      <w:pPr>
        <w:ind w:firstLine="382"/>
        <w:spacing w:after="0" w:line="260" w:lineRule="auto"/>
        <w:rPr>
          <w:sz w:val="20"/>
          <w:szCs w:val="20"/>
          <w:color w:val="auto"/>
        </w:rPr>
      </w:pPr>
      <w:r>
        <w:rPr>
          <w:rFonts w:ascii="Arial" w:cs="Arial" w:eastAsia="Arial" w:hAnsi="Arial"/>
          <w:sz w:val="13"/>
          <w:szCs w:val="13"/>
          <w:color w:val="auto"/>
        </w:rPr>
        <w:t>In March 2014, we entered into a Collaboration and Exclusive License Agreement (the “GSK Agreement”) with TESARO, Inc. (“Tesaro”), an oncology-focused biopharmaceutical company now a part of GlaxoSmithKline (Tesaro and GlaxoSmithKline are hereinafter referred to, collectively, as “GSK”). Under the terms of the GSK Agreement, we agreed to perform certain discovery and early preclinical development of therapeutic antibodies with the goal of generating immunotherapy antibodies for subsequent preclinical, clinical, regulatory, and commercial development to be performed by GSK. Under the terms of the GSK Agreement, GSK paid an upfront license fee of $17.0 million in March 2014 and agreed to provide funding to us for research and development services related to antibody discovery programs for three specific targets. In November 2014, Amendment No. 1 to the GSK Agreement was agreed by both parties to add an additional antibody discovery program for an upfront license fee of $2.0 million. Currently, under the GSK Agreement, GSK is developing JEMPERLI (dostarlimab), an anti-PD-1 antagonist antibody, as a monotherapy and in combination with additional therapies, for various solid tumor indications. In addition, under the collaboration, GSK is developing dostarlimab in combination with two other development programs form the GSK Agreement: cobolimab, an anti-TIM-3 antibody, and GSK40974386, an anti-LAG-3 antibody, for various solid tumor indications.</w:t>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For each development program, we are eligible to receive milestone payments of up to $18.0 million if certain preclinical and clinical trial events are achieved by GSK, up to an additional</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$90.0 million if certain U.S. and European regulatory submissions and approvals in multiple indications are achieved, and up to an additional $165.0 million upon the achievement of specified levels</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of annual worldwide net sales. We will also be eligible to receive tiered 4-8% royalties related to worldwide net sales of products developed under the collaboration. Unless earlier terminated by</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either party upon specified circumstances, the GSK Agreement will terminate, with respect to each specific developed product, upon the later of the 12th anniversary of the first commercial sale of</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the product or the expiration of the last to expire of any patent. Prior to the adoption of ASC 606, </w:t>
      </w:r>
      <w:r>
        <w:rPr>
          <w:rFonts w:ascii="Arial" w:cs="Arial" w:eastAsia="Arial" w:hAnsi="Arial"/>
          <w:sz w:val="13"/>
          <w:szCs w:val="13"/>
          <w:i w:val="1"/>
          <w:iCs w:val="1"/>
          <w:color w:val="auto"/>
        </w:rPr>
        <w:t>Revenue from Contracts with Customers</w:t>
      </w:r>
      <w:r>
        <w:rPr>
          <w:rFonts w:ascii="Arial" w:cs="Arial" w:eastAsia="Arial" w:hAnsi="Arial"/>
          <w:sz w:val="13"/>
          <w:szCs w:val="13"/>
          <w:color w:val="auto"/>
        </w:rPr>
        <w:t>, we determined that the upfront license fees and research</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funding under the GSK Agreement, as amended, should be accounted for as a single unit of accounting and that the upfront license fees should be deferred and recognized as revenue over the same</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period that the research and development services are performed. In February 2016, Amendment No. 2 to the GSK Agreement was agreed by both parties to define the effective dates of the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development programs of the GSK Agreement. We determined that the research and development services would be extended through December 31, 2016. As a result, the period over which the</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unrecognized license fees and discovery milestones were recognized was extended through December 31, 2016 and have since been recognized in full.</w:t>
      </w:r>
    </w:p>
    <w:p>
      <w:pPr>
        <w:spacing w:after="0" w:line="83" w:lineRule="exact"/>
        <w:rPr>
          <w:sz w:val="20"/>
          <w:szCs w:val="20"/>
          <w:color w:val="auto"/>
        </w:rPr>
      </w:pPr>
    </w:p>
    <w:p>
      <w:pPr>
        <w:ind w:firstLine="382"/>
        <w:spacing w:after="0" w:line="309" w:lineRule="auto"/>
        <w:rPr>
          <w:sz w:val="20"/>
          <w:szCs w:val="20"/>
          <w:color w:val="auto"/>
        </w:rPr>
      </w:pPr>
      <w:r>
        <w:rPr>
          <w:rFonts w:ascii="Arial" w:cs="Arial" w:eastAsia="Arial" w:hAnsi="Arial"/>
          <w:sz w:val="12"/>
          <w:szCs w:val="12"/>
          <w:color w:val="auto"/>
        </w:rPr>
        <w:t>We assessed these arrangements in accordance with ASC 606 and concluded that the contract counterparty, GSK, is a customer. We identified the following material promises under the GSK Agreement: (1) the licenses under certain patent rights relating to six discovery programs (four targets) and transfer of certain development and regulatory information, (2) research and development (“R&amp;D”) services, and (3) joint steering committee meetings. We considered the research and discovery capabilities of GSK for these specific programs and the fact that the discovery and optimization of these antibodies is proprietary and could not, at the time of contract inception, be provided by other vendors, to conclude that the license does not have stand-alone functionality and is therefore not distinct. Additionally, we determined that the joint steering committee participation would not have been provided without the R&amp;D services and GSK Agreement. Based on these assessments, we identified all services to be interrelated and therefore concluded that the promises should be combined into a single performance obligation at the inception of the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440" w:right="339" w:bottom="1440" w:gutter="0" w:footer="0" w:header="0"/>
        </w:sectPr>
      </w:pPr>
    </w:p>
    <w:bookmarkStart w:id="11" w:name="page12"/>
    <w:bookmarkEnd w:id="11"/>
    <w:p>
      <w:pPr>
        <w:ind w:right="60" w:firstLine="382"/>
        <w:spacing w:after="0" w:line="309" w:lineRule="auto"/>
        <w:rPr>
          <w:sz w:val="20"/>
          <w:szCs w:val="20"/>
          <w:color w:val="auto"/>
        </w:rPr>
      </w:pPr>
      <w:r>
        <w:rPr>
          <w:rFonts w:ascii="Arial" w:cs="Arial" w:eastAsia="Arial" w:hAnsi="Arial"/>
          <w:sz w:val="12"/>
          <w:szCs w:val="12"/>
          <w:color w:val="auto"/>
        </w:rPr>
        <w:t>On October 23, 2020, Amendment No. 3 to the GSK Agreement (the “Amendment”) was agreed to by both parties to permit GSK to conduct development and commercialization in combination with any third-party molecules of Zejula, an oral, once-daily poly (ADP-ribose) polymerase (PARP) inhibitor. Under the Amendment, we were granted increased royalties upon sales of JEMPERLI, equal to 8% of Net Sales (as defined in the GSK Agreement) below $1.0 billion and from 12% up to 25% of Net Sales above $1.0 billion. The Amendment also provided for a one-time, non-refundable cash payment of $60.0 million that we received and recognized as revenue in the fourth quarter of 2020. The $1.1 billion in cash milestone payments due under the GSK Agreement</w:t>
      </w:r>
    </w:p>
    <w:p>
      <w:pPr>
        <w:ind w:right="220"/>
        <w:spacing w:after="0" w:line="281" w:lineRule="auto"/>
        <w:rPr>
          <w:sz w:val="20"/>
          <w:szCs w:val="20"/>
          <w:color w:val="auto"/>
        </w:rPr>
      </w:pPr>
      <w:r>
        <w:rPr>
          <w:rFonts w:ascii="Arial" w:cs="Arial" w:eastAsia="Arial" w:hAnsi="Arial"/>
          <w:sz w:val="14"/>
          <w:szCs w:val="14"/>
          <w:color w:val="auto"/>
        </w:rPr>
        <w:t>remain unchanged. Additionally, under the terms of the Amendment, GSK has agreed to certain diligence commitments with respect to the future development of JEMPERLI, and the parties have agreed to review such commitments under regular joint review committee meetings going forward.</w:t>
      </w:r>
    </w:p>
    <w:p>
      <w:pPr>
        <w:spacing w:after="0" w:line="47" w:lineRule="exact"/>
        <w:rPr>
          <w:sz w:val="20"/>
          <w:szCs w:val="20"/>
          <w:color w:val="auto"/>
        </w:rPr>
      </w:pPr>
    </w:p>
    <w:p>
      <w:pPr>
        <w:ind w:right="60" w:firstLine="382"/>
        <w:spacing w:after="0" w:line="267" w:lineRule="auto"/>
        <w:rPr>
          <w:sz w:val="20"/>
          <w:szCs w:val="20"/>
          <w:color w:val="auto"/>
        </w:rPr>
      </w:pPr>
      <w:r>
        <w:rPr>
          <w:rFonts w:ascii="Arial" w:cs="Arial" w:eastAsia="Arial" w:hAnsi="Arial"/>
          <w:sz w:val="14"/>
          <w:szCs w:val="14"/>
          <w:color w:val="auto"/>
        </w:rPr>
        <w:t>We assessed this Amendment in accordance with ASC 606 and concluded the Amendment was a contract modification to the GSK Agreement. Based on our assessment, we identified the terms of the Amendment to be interrelated to the GSK Agreement’s single performance obligation, noting completion and delivery of terms under the Amendment were satisfied by both parties with the execution of the Amendment.</w:t>
      </w:r>
    </w:p>
    <w:p>
      <w:pPr>
        <w:spacing w:after="0" w:line="57" w:lineRule="exact"/>
        <w:rPr>
          <w:sz w:val="20"/>
          <w:szCs w:val="20"/>
          <w:color w:val="auto"/>
        </w:rPr>
      </w:pPr>
    </w:p>
    <w:p>
      <w:pPr>
        <w:ind w:firstLine="382"/>
        <w:spacing w:after="0" w:line="281" w:lineRule="auto"/>
        <w:rPr>
          <w:sz w:val="20"/>
          <w:szCs w:val="20"/>
          <w:color w:val="auto"/>
        </w:rPr>
      </w:pPr>
      <w:r>
        <w:rPr>
          <w:rFonts w:ascii="Arial" w:cs="Arial" w:eastAsia="Arial" w:hAnsi="Arial"/>
          <w:sz w:val="14"/>
          <w:szCs w:val="14"/>
          <w:color w:val="auto"/>
        </w:rPr>
        <w:t>As of September 30, 2022, the transaction price for the GSK Agreement and Amendment includes the upfront payment, research reimbursement revenue, one-time payment associated with the Amendment, and milestones and royalties earned to date, which are allocated in their entirety to the single performance obligation.</w:t>
      </w:r>
    </w:p>
    <w:p>
      <w:pPr>
        <w:spacing w:after="0" w:line="47" w:lineRule="exact"/>
        <w:rPr>
          <w:sz w:val="20"/>
          <w:szCs w:val="20"/>
          <w:color w:val="auto"/>
        </w:rPr>
      </w:pPr>
    </w:p>
    <w:p>
      <w:pPr>
        <w:ind w:right="200" w:firstLine="382"/>
        <w:spacing w:after="0" w:line="304" w:lineRule="auto"/>
        <w:rPr>
          <w:sz w:val="20"/>
          <w:szCs w:val="20"/>
          <w:color w:val="auto"/>
        </w:rPr>
      </w:pPr>
      <w:r>
        <w:rPr>
          <w:rFonts w:ascii="Arial" w:cs="Arial" w:eastAsia="Arial" w:hAnsi="Arial"/>
          <w:sz w:val="12"/>
          <w:szCs w:val="12"/>
          <w:color w:val="auto"/>
        </w:rPr>
        <w:t>We earned and recognized $1.3 million and $3.5 million in royalty revenue during the three and nine months ended September 30, 2022 related to GSK’s net sales of Zejula and JEMPERLI during the period based on estimates of GSK’s sales historical experience. Of the royalty revenue recognized during the three and nine months ended September 30, 2022, $0.3 million and</w:t>
      </w:r>
    </w:p>
    <w:p>
      <w:pPr>
        <w:ind w:right="80"/>
        <w:spacing w:after="0" w:line="280" w:lineRule="auto"/>
        <w:rPr>
          <w:sz w:val="20"/>
          <w:szCs w:val="20"/>
          <w:color w:val="auto"/>
        </w:rPr>
      </w:pPr>
      <w:r>
        <w:rPr>
          <w:rFonts w:ascii="Arial" w:cs="Arial" w:eastAsia="Arial" w:hAnsi="Arial"/>
          <w:sz w:val="13"/>
          <w:szCs w:val="13"/>
          <w:color w:val="auto"/>
        </w:rPr>
        <w:t>$1.2 million is JEMPERLI non-cash revenue related to the JEMPERLI Royalty Monetization Agreement, see Note 5. Of the royalty revenue recognized during both the three and nine months ended September 30, 2022, $0.7 million is Zejula non-cash revenue related to the Zejula Royalty Monetization Agreement, see Note 5. GSK reports sales information to us on a one quarter lag and differences between actual and estimated royalty revenues will be adjusted in the following quarter. We earned and recognized $0.9 million and $2.2 million in royalty revenue during the three and nine months ended September 30, 2021 related to GSK’s net sales of Zejula and JEMPERLI during the period. All royalty revenue related to Zejula global net sales starting July 2022 will be paid directly to a wholly-owned subsidiary of DRI Healthcare Trust pursuant to the Zejula Royalty Monetization Agreement, see Note 5.</w:t>
      </w:r>
    </w:p>
    <w:p>
      <w:pPr>
        <w:spacing w:after="0" w:line="51" w:lineRule="exact"/>
        <w:rPr>
          <w:sz w:val="20"/>
          <w:szCs w:val="20"/>
          <w:color w:val="auto"/>
        </w:rPr>
      </w:pPr>
    </w:p>
    <w:p>
      <w:pPr>
        <w:ind w:right="20" w:firstLine="382"/>
        <w:spacing w:after="0" w:line="313" w:lineRule="auto"/>
        <w:rPr>
          <w:sz w:val="20"/>
          <w:szCs w:val="20"/>
          <w:color w:val="auto"/>
        </w:rPr>
      </w:pPr>
      <w:r>
        <w:rPr>
          <w:rFonts w:ascii="Arial" w:cs="Arial" w:eastAsia="Arial" w:hAnsi="Arial"/>
          <w:sz w:val="12"/>
          <w:szCs w:val="12"/>
          <w:color w:val="auto"/>
        </w:rPr>
        <w:t>No clinical milestones were earned or recognized during the three and nine months ended September 30, 2022. No other future clinical or regulatory milestones have been included in the transaction price, as all milestone amounts were subject to the revenue constraint. As part of the constraint evaluation, we considered numerous factors including the fact that the receipt of milestones is outside of our control and contingent upon success in future clinical trials, an outcome that is difficult to predict, and GSK’s efforts. Any consideration related to sales-based milestones, including royalties, will be recognized when the related sales occur as they were determined to relate predominantly to the intellectual property license granted to GSK and therefore have also been excluded from the transaction price. We will re-evaluate the variable transaction price in each reporting period and as uncertain events are resolved or other changes in circumstances occur.</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7" w:right="339" w:bottom="1440" w:gutter="0" w:footer="0" w:header="0"/>
        </w:sectPr>
      </w:pPr>
    </w:p>
    <w:bookmarkStart w:id="12" w:name="page13"/>
    <w:bookmarkEnd w:id="12"/>
    <w:p>
      <w:pPr>
        <w:ind w:left="380"/>
        <w:spacing w:after="0"/>
        <w:rPr>
          <w:sz w:val="20"/>
          <w:szCs w:val="20"/>
          <w:color w:val="auto"/>
        </w:rPr>
      </w:pPr>
      <w:r>
        <w:rPr>
          <w:rFonts w:ascii="Arial" w:cs="Arial" w:eastAsia="Arial" w:hAnsi="Arial"/>
          <w:sz w:val="14"/>
          <w:szCs w:val="14"/>
          <w:color w:val="auto"/>
        </w:rPr>
        <w:t>Milestones under the GSK Agreement are as follows:</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34"/>
        </w:trPr>
        <w:tc>
          <w:tcPr>
            <w:tcW w:w="4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80" w:type="dxa"/>
            <w:vAlign w:val="bottom"/>
          </w:tcPr>
          <w:p>
            <w:pPr>
              <w:jc w:val="center"/>
              <w:ind w:right="803"/>
              <w:spacing w:after="0"/>
              <w:rPr>
                <w:sz w:val="20"/>
                <w:szCs w:val="20"/>
                <w:color w:val="auto"/>
              </w:rPr>
            </w:pPr>
            <w:r>
              <w:rPr>
                <w:rFonts w:ascii="Arial" w:cs="Arial" w:eastAsia="Arial" w:hAnsi="Arial"/>
                <w:sz w:val="11"/>
                <w:szCs w:val="11"/>
                <w:b w:val="1"/>
                <w:bCs w:val="1"/>
                <w:color w:val="auto"/>
                <w:w w:val="99"/>
              </w:rPr>
              <w:t>Anti-PD-1</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0" w:type="dxa"/>
            <w:vAlign w:val="bottom"/>
            <w:gridSpan w:val="3"/>
          </w:tcPr>
          <w:p>
            <w:pPr>
              <w:jc w:val="center"/>
              <w:ind w:right="960"/>
              <w:spacing w:after="0"/>
              <w:rPr>
                <w:sz w:val="20"/>
                <w:szCs w:val="20"/>
                <w:color w:val="auto"/>
              </w:rPr>
            </w:pPr>
            <w:r>
              <w:rPr>
                <w:rFonts w:ascii="Arial" w:cs="Arial" w:eastAsia="Arial" w:hAnsi="Arial"/>
                <w:sz w:val="11"/>
                <w:szCs w:val="11"/>
                <w:b w:val="1"/>
                <w:bCs w:val="1"/>
                <w:color w:val="auto"/>
              </w:rPr>
              <w:t>Anti-TIM-3</w:t>
            </w:r>
          </w:p>
        </w:tc>
        <w:tc>
          <w:tcPr>
            <w:tcW w:w="820" w:type="dxa"/>
            <w:vAlign w:val="bottom"/>
          </w:tcPr>
          <w:p>
            <w:pPr>
              <w:spacing w:after="0"/>
              <w:rPr>
                <w:sz w:val="11"/>
                <w:szCs w:val="11"/>
                <w:color w:val="auto"/>
              </w:rPr>
            </w:pPr>
          </w:p>
        </w:tc>
        <w:tc>
          <w:tcPr>
            <w:tcW w:w="1520" w:type="dxa"/>
            <w:vAlign w:val="bottom"/>
            <w:gridSpan w:val="2"/>
          </w:tcPr>
          <w:p>
            <w:pPr>
              <w:jc w:val="center"/>
              <w:ind w:right="763"/>
              <w:spacing w:after="0"/>
              <w:rPr>
                <w:sz w:val="20"/>
                <w:szCs w:val="20"/>
                <w:color w:val="auto"/>
              </w:rPr>
            </w:pPr>
            <w:r>
              <w:rPr>
                <w:rFonts w:ascii="Arial" w:cs="Arial" w:eastAsia="Arial" w:hAnsi="Arial"/>
                <w:sz w:val="11"/>
                <w:szCs w:val="11"/>
                <w:b w:val="1"/>
                <w:bCs w:val="1"/>
                <w:color w:val="auto"/>
                <w:w w:val="99"/>
              </w:rPr>
              <w:t>Anti-LAG-3</w:t>
            </w:r>
          </w:p>
        </w:tc>
      </w:tr>
      <w:tr>
        <w:trPr>
          <w:trHeight w:val="150"/>
        </w:trPr>
        <w:tc>
          <w:tcPr>
            <w:tcW w:w="4060" w:type="dxa"/>
            <w:vAlign w:val="bottom"/>
          </w:tcPr>
          <w:p>
            <w:pPr>
              <w:spacing w:after="0"/>
              <w:rPr>
                <w:sz w:val="13"/>
                <w:szCs w:val="13"/>
                <w:color w:val="auto"/>
              </w:rPr>
            </w:pPr>
          </w:p>
        </w:tc>
        <w:tc>
          <w:tcPr>
            <w:tcW w:w="2340" w:type="dxa"/>
            <w:vAlign w:val="bottom"/>
            <w:gridSpan w:val="2"/>
          </w:tcPr>
          <w:p>
            <w:pPr>
              <w:jc w:val="center"/>
              <w:spacing w:after="0"/>
              <w:rPr>
                <w:sz w:val="20"/>
                <w:szCs w:val="20"/>
                <w:color w:val="auto"/>
              </w:rPr>
            </w:pPr>
            <w:r>
              <w:rPr>
                <w:rFonts w:ascii="Arial" w:cs="Arial" w:eastAsia="Arial" w:hAnsi="Arial"/>
                <w:sz w:val="11"/>
                <w:szCs w:val="11"/>
                <w:b w:val="1"/>
                <w:bCs w:val="1"/>
                <w:color w:val="auto"/>
              </w:rPr>
              <w:t>(JEMPERLI/Dostarlimab)</w:t>
            </w:r>
          </w:p>
        </w:tc>
        <w:tc>
          <w:tcPr>
            <w:tcW w:w="80" w:type="dxa"/>
            <w:vAlign w:val="bottom"/>
          </w:tcPr>
          <w:p>
            <w:pPr>
              <w:spacing w:after="0"/>
              <w:rPr>
                <w:sz w:val="13"/>
                <w:szCs w:val="13"/>
                <w:color w:val="auto"/>
              </w:rPr>
            </w:pPr>
          </w:p>
        </w:tc>
        <w:tc>
          <w:tcPr>
            <w:tcW w:w="244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95"/>
              </w:rPr>
              <w:t>(GSK4069889A/Cobolimab)</w:t>
            </w:r>
          </w:p>
        </w:tc>
        <w:tc>
          <w:tcPr>
            <w:tcW w:w="2340" w:type="dxa"/>
            <w:vAlign w:val="bottom"/>
            <w:gridSpan w:val="3"/>
          </w:tcPr>
          <w:p>
            <w:pPr>
              <w:jc w:val="center"/>
              <w:spacing w:after="0"/>
              <w:rPr>
                <w:sz w:val="20"/>
                <w:szCs w:val="20"/>
                <w:color w:val="auto"/>
              </w:rPr>
            </w:pPr>
            <w:r>
              <w:rPr>
                <w:rFonts w:ascii="Arial" w:cs="Arial" w:eastAsia="Arial" w:hAnsi="Arial"/>
                <w:sz w:val="11"/>
                <w:szCs w:val="11"/>
                <w:b w:val="1"/>
                <w:bCs w:val="1"/>
                <w:color w:val="auto"/>
                <w:w w:val="94"/>
              </w:rPr>
              <w:t>(GSK40974386)</w:t>
            </w:r>
          </w:p>
        </w:tc>
      </w:tr>
      <w:tr>
        <w:trPr>
          <w:trHeight w:val="153"/>
        </w:trPr>
        <w:tc>
          <w:tcPr>
            <w:tcW w:w="4060" w:type="dxa"/>
            <w:vAlign w:val="bottom"/>
          </w:tcPr>
          <w:p>
            <w:pPr>
              <w:ind w:left="1640"/>
              <w:spacing w:after="0"/>
              <w:rPr>
                <w:sz w:val="20"/>
                <w:szCs w:val="20"/>
                <w:color w:val="auto"/>
              </w:rPr>
            </w:pPr>
            <w:r>
              <w:rPr>
                <w:rFonts w:ascii="Arial" w:cs="Arial" w:eastAsia="Arial" w:hAnsi="Arial"/>
                <w:sz w:val="11"/>
                <w:szCs w:val="11"/>
                <w:b w:val="1"/>
                <w:bCs w:val="1"/>
                <w:color w:val="auto"/>
              </w:rPr>
              <w:t>Milestone Event</w:t>
            </w:r>
          </w:p>
        </w:tc>
        <w:tc>
          <w:tcPr>
            <w:tcW w:w="860" w:type="dxa"/>
            <w:vAlign w:val="bottom"/>
            <w:tcBorders>
              <w:top w:val="single" w:sz="8" w:color="auto"/>
            </w:tcBorders>
          </w:tcPr>
          <w:p>
            <w:pPr>
              <w:ind w:left="380"/>
              <w:spacing w:after="0"/>
              <w:rPr>
                <w:sz w:val="20"/>
                <w:szCs w:val="20"/>
                <w:color w:val="auto"/>
              </w:rPr>
            </w:pPr>
            <w:r>
              <w:rPr>
                <w:rFonts w:ascii="Arial" w:cs="Arial" w:eastAsia="Arial" w:hAnsi="Arial"/>
                <w:sz w:val="11"/>
                <w:szCs w:val="11"/>
                <w:b w:val="1"/>
                <w:bCs w:val="1"/>
                <w:color w:val="auto"/>
              </w:rPr>
              <w:t>Amount</w:t>
            </w:r>
          </w:p>
        </w:tc>
        <w:tc>
          <w:tcPr>
            <w:tcW w:w="1480" w:type="dxa"/>
            <w:vAlign w:val="bottom"/>
            <w:tcBorders>
              <w:top w:val="single" w:sz="8" w:color="auto"/>
            </w:tcBorders>
          </w:tcPr>
          <w:p>
            <w:pPr>
              <w:ind w:left="400"/>
              <w:spacing w:after="0"/>
              <w:rPr>
                <w:sz w:val="20"/>
                <w:szCs w:val="20"/>
                <w:color w:val="auto"/>
              </w:rPr>
            </w:pPr>
            <w:r>
              <w:rPr>
                <w:rFonts w:ascii="Arial" w:cs="Arial" w:eastAsia="Arial" w:hAnsi="Arial"/>
                <w:sz w:val="11"/>
                <w:szCs w:val="11"/>
                <w:b w:val="1"/>
                <w:bCs w:val="1"/>
                <w:color w:val="auto"/>
              </w:rPr>
              <w:t>Quarter Recognized</w:t>
            </w:r>
          </w:p>
        </w:tc>
        <w:tc>
          <w:tcPr>
            <w:tcW w:w="80" w:type="dxa"/>
            <w:vAlign w:val="bottom"/>
          </w:tcPr>
          <w:p>
            <w:pPr>
              <w:spacing w:after="0"/>
              <w:rPr>
                <w:sz w:val="13"/>
                <w:szCs w:val="13"/>
                <w:color w:val="auto"/>
              </w:rPr>
            </w:pPr>
          </w:p>
        </w:tc>
        <w:tc>
          <w:tcPr>
            <w:tcW w:w="840" w:type="dxa"/>
            <w:vAlign w:val="bottom"/>
            <w:tcBorders>
              <w:top w:val="single" w:sz="8" w:color="auto"/>
            </w:tcBorders>
          </w:tcPr>
          <w:p>
            <w:pPr>
              <w:ind w:left="400"/>
              <w:spacing w:after="0"/>
              <w:rPr>
                <w:sz w:val="20"/>
                <w:szCs w:val="20"/>
                <w:color w:val="auto"/>
              </w:rPr>
            </w:pPr>
            <w:r>
              <w:rPr>
                <w:rFonts w:ascii="Arial" w:cs="Arial" w:eastAsia="Arial" w:hAnsi="Arial"/>
                <w:sz w:val="11"/>
                <w:szCs w:val="11"/>
                <w:b w:val="1"/>
                <w:bCs w:val="1"/>
                <w:color w:val="auto"/>
              </w:rPr>
              <w:t>Amount</w:t>
            </w: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ind w:left="100"/>
              <w:spacing w:after="0"/>
              <w:rPr>
                <w:sz w:val="20"/>
                <w:szCs w:val="20"/>
                <w:color w:val="auto"/>
              </w:rPr>
            </w:pPr>
            <w:r>
              <w:rPr>
                <w:rFonts w:ascii="Arial" w:cs="Arial" w:eastAsia="Arial" w:hAnsi="Arial"/>
                <w:sz w:val="11"/>
                <w:szCs w:val="11"/>
                <w:b w:val="1"/>
                <w:bCs w:val="1"/>
                <w:color w:val="auto"/>
                <w:w w:val="99"/>
              </w:rPr>
              <w:t>Quarter Recognized</w:t>
            </w:r>
          </w:p>
        </w:tc>
        <w:tc>
          <w:tcPr>
            <w:tcW w:w="100" w:type="dxa"/>
            <w:vAlign w:val="bottom"/>
          </w:tcPr>
          <w:p>
            <w:pPr>
              <w:spacing w:after="0"/>
              <w:rPr>
                <w:sz w:val="13"/>
                <w:szCs w:val="13"/>
                <w:color w:val="auto"/>
              </w:rPr>
            </w:pPr>
          </w:p>
        </w:tc>
        <w:tc>
          <w:tcPr>
            <w:tcW w:w="820" w:type="dxa"/>
            <w:vAlign w:val="bottom"/>
            <w:tcBorders>
              <w:top w:val="single" w:sz="8" w:color="auto"/>
            </w:tcBorders>
          </w:tcPr>
          <w:p>
            <w:pPr>
              <w:ind w:left="380"/>
              <w:spacing w:after="0"/>
              <w:rPr>
                <w:sz w:val="20"/>
                <w:szCs w:val="20"/>
                <w:color w:val="auto"/>
              </w:rPr>
            </w:pPr>
            <w:r>
              <w:rPr>
                <w:rFonts w:ascii="Arial" w:cs="Arial" w:eastAsia="Arial" w:hAnsi="Arial"/>
                <w:sz w:val="11"/>
                <w:szCs w:val="11"/>
                <w:b w:val="1"/>
                <w:bCs w:val="1"/>
                <w:color w:val="auto"/>
              </w:rPr>
              <w:t>Amount</w:t>
            </w:r>
          </w:p>
        </w:tc>
        <w:tc>
          <w:tcPr>
            <w:tcW w:w="34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ind w:left="100"/>
              <w:spacing w:after="0"/>
              <w:rPr>
                <w:sz w:val="20"/>
                <w:szCs w:val="20"/>
                <w:color w:val="auto"/>
              </w:rPr>
            </w:pPr>
            <w:r>
              <w:rPr>
                <w:rFonts w:ascii="Arial" w:cs="Arial" w:eastAsia="Arial" w:hAnsi="Arial"/>
                <w:sz w:val="11"/>
                <w:szCs w:val="11"/>
                <w:b w:val="1"/>
                <w:bCs w:val="1"/>
                <w:color w:val="auto"/>
              </w:rPr>
              <w:t>Quarter Recognized</w:t>
            </w:r>
          </w:p>
        </w:tc>
      </w:tr>
      <w:tr>
        <w:trPr>
          <w:trHeight w:val="335"/>
        </w:trPr>
        <w:tc>
          <w:tcPr>
            <w:tcW w:w="4060" w:type="dxa"/>
            <w:vAlign w:val="bottom"/>
            <w:shd w:val="clear" w:color="auto" w:fill="CCEEFF"/>
          </w:tcPr>
          <w:p>
            <w:pPr>
              <w:spacing w:after="0"/>
              <w:rPr>
                <w:sz w:val="20"/>
                <w:szCs w:val="20"/>
                <w:color w:val="auto"/>
              </w:rPr>
            </w:pPr>
            <w:r>
              <w:rPr>
                <w:rFonts w:ascii="Arial" w:cs="Arial" w:eastAsia="Arial" w:hAnsi="Arial"/>
                <w:sz w:val="11"/>
                <w:szCs w:val="11"/>
                <w:color w:val="auto"/>
              </w:rPr>
              <w:t xml:space="preserve">Initiated </w:t>
            </w:r>
            <w:r>
              <w:rPr>
                <w:rFonts w:ascii="Arial" w:cs="Arial" w:eastAsia="Arial" w:hAnsi="Arial"/>
                <w:sz w:val="11"/>
                <w:szCs w:val="11"/>
                <w:i w:val="1"/>
                <w:iCs w:val="1"/>
                <w:color w:val="auto"/>
              </w:rPr>
              <w:t>in vivo</w:t>
            </w:r>
            <w:r>
              <w:rPr>
                <w:rFonts w:ascii="Arial" w:cs="Arial" w:eastAsia="Arial" w:hAnsi="Arial"/>
                <w:sz w:val="11"/>
                <w:szCs w:val="11"/>
                <w:color w:val="auto"/>
              </w:rPr>
              <w:t xml:space="preserve"> toxicology studies using good laboratory practices (GLPs)</w:t>
            </w:r>
          </w:p>
        </w:tc>
        <w:tc>
          <w:tcPr>
            <w:tcW w:w="860" w:type="dxa"/>
            <w:vAlign w:val="bottom"/>
            <w:shd w:val="clear" w:color="auto" w:fill="CFF0FC"/>
          </w:tcPr>
          <w:p>
            <w:pPr>
              <w:jc w:val="center"/>
              <w:ind w:left="263"/>
              <w:spacing w:after="0"/>
              <w:rPr>
                <w:sz w:val="20"/>
                <w:szCs w:val="20"/>
                <w:color w:val="auto"/>
              </w:rPr>
            </w:pPr>
            <w:r>
              <w:rPr>
                <w:rFonts w:ascii="Arial" w:cs="Arial" w:eastAsia="Arial" w:hAnsi="Arial"/>
                <w:sz w:val="11"/>
                <w:szCs w:val="11"/>
                <w:color w:val="auto"/>
                <w:w w:val="97"/>
              </w:rPr>
              <w:t>$1.0M</w:t>
            </w:r>
          </w:p>
        </w:tc>
        <w:tc>
          <w:tcPr>
            <w:tcW w:w="1480" w:type="dxa"/>
            <w:vAlign w:val="bottom"/>
            <w:shd w:val="clear" w:color="auto" w:fill="CFF0FC"/>
          </w:tcPr>
          <w:p>
            <w:pPr>
              <w:jc w:val="center"/>
              <w:ind w:left="243"/>
              <w:spacing w:after="0"/>
              <w:rPr>
                <w:sz w:val="20"/>
                <w:szCs w:val="20"/>
                <w:color w:val="auto"/>
              </w:rPr>
            </w:pPr>
            <w:r>
              <w:rPr>
                <w:rFonts w:ascii="Arial" w:cs="Arial" w:eastAsia="Arial" w:hAnsi="Arial"/>
                <w:sz w:val="11"/>
                <w:szCs w:val="11"/>
                <w:color w:val="auto"/>
                <w:w w:val="89"/>
              </w:rPr>
              <w:t>Q2'15</w:t>
            </w:r>
          </w:p>
        </w:tc>
        <w:tc>
          <w:tcPr>
            <w:tcW w:w="80" w:type="dxa"/>
            <w:vAlign w:val="bottom"/>
            <w:shd w:val="clear" w:color="auto" w:fill="CCEEFF"/>
          </w:tcPr>
          <w:p>
            <w:pPr>
              <w:spacing w:after="0"/>
              <w:rPr>
                <w:sz w:val="24"/>
                <w:szCs w:val="24"/>
                <w:color w:val="auto"/>
              </w:rPr>
            </w:pPr>
          </w:p>
        </w:tc>
        <w:tc>
          <w:tcPr>
            <w:tcW w:w="840" w:type="dxa"/>
            <w:vAlign w:val="bottom"/>
            <w:shd w:val="clear" w:color="auto" w:fill="CFF0FC"/>
          </w:tcPr>
          <w:p>
            <w:pPr>
              <w:jc w:val="center"/>
              <w:ind w:left="283"/>
              <w:spacing w:after="0"/>
              <w:rPr>
                <w:sz w:val="20"/>
                <w:szCs w:val="20"/>
                <w:color w:val="auto"/>
              </w:rPr>
            </w:pPr>
            <w:r>
              <w:rPr>
                <w:rFonts w:ascii="Arial" w:cs="Arial" w:eastAsia="Arial" w:hAnsi="Arial"/>
                <w:sz w:val="11"/>
                <w:szCs w:val="11"/>
                <w:color w:val="auto"/>
                <w:w w:val="97"/>
              </w:rPr>
              <w:t>$1.0M</w:t>
            </w:r>
          </w:p>
        </w:tc>
        <w:tc>
          <w:tcPr>
            <w:tcW w:w="340" w:type="dxa"/>
            <w:vAlign w:val="bottom"/>
            <w:shd w:val="clear" w:color="auto" w:fill="CFF0FC"/>
          </w:tcPr>
          <w:p>
            <w:pPr>
              <w:spacing w:after="0"/>
              <w:rPr>
                <w:sz w:val="24"/>
                <w:szCs w:val="24"/>
                <w:color w:val="auto"/>
              </w:rPr>
            </w:pPr>
          </w:p>
        </w:tc>
        <w:tc>
          <w:tcPr>
            <w:tcW w:w="1260" w:type="dxa"/>
            <w:vAlign w:val="bottom"/>
            <w:gridSpan w:val="2"/>
            <w:shd w:val="clear" w:color="auto" w:fill="CFF0FC"/>
          </w:tcPr>
          <w:p>
            <w:pPr>
              <w:jc w:val="center"/>
              <w:ind w:right="100"/>
              <w:spacing w:after="0"/>
              <w:rPr>
                <w:sz w:val="20"/>
                <w:szCs w:val="20"/>
                <w:color w:val="auto"/>
              </w:rPr>
            </w:pPr>
            <w:r>
              <w:rPr>
                <w:rFonts w:ascii="Arial" w:cs="Arial" w:eastAsia="Arial" w:hAnsi="Arial"/>
                <w:sz w:val="11"/>
                <w:szCs w:val="11"/>
                <w:color w:val="auto"/>
                <w:w w:val="96"/>
              </w:rPr>
              <w:t>Q4'15</w:t>
            </w:r>
          </w:p>
        </w:tc>
        <w:tc>
          <w:tcPr>
            <w:tcW w:w="820" w:type="dxa"/>
            <w:vAlign w:val="bottom"/>
            <w:shd w:val="clear" w:color="auto" w:fill="CFF0FC"/>
          </w:tcPr>
          <w:p>
            <w:pPr>
              <w:jc w:val="center"/>
              <w:ind w:left="303"/>
              <w:spacing w:after="0"/>
              <w:rPr>
                <w:sz w:val="20"/>
                <w:szCs w:val="20"/>
                <w:color w:val="auto"/>
              </w:rPr>
            </w:pPr>
            <w:r>
              <w:rPr>
                <w:rFonts w:ascii="Arial" w:cs="Arial" w:eastAsia="Arial" w:hAnsi="Arial"/>
                <w:sz w:val="11"/>
                <w:szCs w:val="11"/>
                <w:color w:val="auto"/>
                <w:w w:val="97"/>
              </w:rPr>
              <w:t>$1.0M</w:t>
            </w:r>
          </w:p>
        </w:tc>
        <w:tc>
          <w:tcPr>
            <w:tcW w:w="340" w:type="dxa"/>
            <w:vAlign w:val="bottom"/>
            <w:shd w:val="clear" w:color="auto" w:fill="CFF0FC"/>
          </w:tcPr>
          <w:p>
            <w:pPr>
              <w:spacing w:after="0"/>
              <w:rPr>
                <w:sz w:val="24"/>
                <w:szCs w:val="24"/>
                <w:color w:val="auto"/>
              </w:rPr>
            </w:pPr>
          </w:p>
        </w:tc>
        <w:tc>
          <w:tcPr>
            <w:tcW w:w="11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9"/>
              </w:rPr>
              <w:t>Q3'16</w:t>
            </w:r>
          </w:p>
        </w:tc>
      </w:tr>
      <w:tr>
        <w:trPr>
          <w:trHeight w:val="152"/>
        </w:trPr>
        <w:tc>
          <w:tcPr>
            <w:tcW w:w="4060" w:type="dxa"/>
            <w:vAlign w:val="bottom"/>
          </w:tcPr>
          <w:p>
            <w:pPr>
              <w:spacing w:after="0"/>
              <w:rPr>
                <w:sz w:val="20"/>
                <w:szCs w:val="20"/>
                <w:color w:val="auto"/>
              </w:rPr>
            </w:pPr>
            <w:r>
              <w:rPr>
                <w:rFonts w:ascii="Arial" w:cs="Arial" w:eastAsia="Arial" w:hAnsi="Arial"/>
                <w:sz w:val="11"/>
                <w:szCs w:val="11"/>
                <w:color w:val="auto"/>
              </w:rPr>
              <w:t>IND clearance from the FDA</w:t>
            </w:r>
          </w:p>
        </w:tc>
        <w:tc>
          <w:tcPr>
            <w:tcW w:w="860" w:type="dxa"/>
            <w:vAlign w:val="bottom"/>
          </w:tcPr>
          <w:p>
            <w:pPr>
              <w:jc w:val="center"/>
              <w:ind w:left="263"/>
              <w:spacing w:after="0"/>
              <w:rPr>
                <w:sz w:val="20"/>
                <w:szCs w:val="20"/>
                <w:color w:val="auto"/>
              </w:rPr>
            </w:pPr>
            <w:r>
              <w:rPr>
                <w:rFonts w:ascii="Arial" w:cs="Arial" w:eastAsia="Arial" w:hAnsi="Arial"/>
                <w:sz w:val="11"/>
                <w:szCs w:val="11"/>
                <w:color w:val="auto"/>
                <w:w w:val="97"/>
              </w:rPr>
              <w:t>$4.0M</w:t>
            </w:r>
          </w:p>
        </w:tc>
        <w:tc>
          <w:tcPr>
            <w:tcW w:w="1480" w:type="dxa"/>
            <w:vAlign w:val="bottom"/>
          </w:tcPr>
          <w:p>
            <w:pPr>
              <w:jc w:val="center"/>
              <w:ind w:left="243"/>
              <w:spacing w:after="0"/>
              <w:rPr>
                <w:sz w:val="20"/>
                <w:szCs w:val="20"/>
                <w:color w:val="auto"/>
              </w:rPr>
            </w:pPr>
            <w:r>
              <w:rPr>
                <w:rFonts w:ascii="Arial" w:cs="Arial" w:eastAsia="Arial" w:hAnsi="Arial"/>
                <w:sz w:val="11"/>
                <w:szCs w:val="11"/>
                <w:color w:val="auto"/>
                <w:w w:val="89"/>
              </w:rPr>
              <w:t>Q1'16</w:t>
            </w:r>
          </w:p>
        </w:tc>
        <w:tc>
          <w:tcPr>
            <w:tcW w:w="80" w:type="dxa"/>
            <w:vAlign w:val="bottom"/>
          </w:tcPr>
          <w:p>
            <w:pPr>
              <w:spacing w:after="0"/>
              <w:rPr>
                <w:sz w:val="13"/>
                <w:szCs w:val="13"/>
                <w:color w:val="auto"/>
              </w:rPr>
            </w:pPr>
          </w:p>
        </w:tc>
        <w:tc>
          <w:tcPr>
            <w:tcW w:w="840" w:type="dxa"/>
            <w:vAlign w:val="bottom"/>
          </w:tcPr>
          <w:p>
            <w:pPr>
              <w:jc w:val="center"/>
              <w:ind w:left="283"/>
              <w:spacing w:after="0"/>
              <w:rPr>
                <w:sz w:val="20"/>
                <w:szCs w:val="20"/>
                <w:color w:val="auto"/>
              </w:rPr>
            </w:pPr>
            <w:r>
              <w:rPr>
                <w:rFonts w:ascii="Arial" w:cs="Arial" w:eastAsia="Arial" w:hAnsi="Arial"/>
                <w:sz w:val="11"/>
                <w:szCs w:val="11"/>
                <w:color w:val="auto"/>
                <w:w w:val="97"/>
              </w:rPr>
              <w:t>$4.0M</w:t>
            </w:r>
          </w:p>
        </w:tc>
        <w:tc>
          <w:tcPr>
            <w:tcW w:w="340" w:type="dxa"/>
            <w:vAlign w:val="bottom"/>
          </w:tcPr>
          <w:p>
            <w:pPr>
              <w:spacing w:after="0"/>
              <w:rPr>
                <w:sz w:val="13"/>
                <w:szCs w:val="13"/>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1"/>
                <w:szCs w:val="11"/>
                <w:color w:val="auto"/>
                <w:w w:val="96"/>
              </w:rPr>
              <w:t>Q2'16</w:t>
            </w:r>
          </w:p>
        </w:tc>
        <w:tc>
          <w:tcPr>
            <w:tcW w:w="820" w:type="dxa"/>
            <w:vAlign w:val="bottom"/>
          </w:tcPr>
          <w:p>
            <w:pPr>
              <w:jc w:val="center"/>
              <w:ind w:left="303"/>
              <w:spacing w:after="0"/>
              <w:rPr>
                <w:sz w:val="20"/>
                <w:szCs w:val="20"/>
                <w:color w:val="auto"/>
              </w:rPr>
            </w:pPr>
            <w:r>
              <w:rPr>
                <w:rFonts w:ascii="Arial" w:cs="Arial" w:eastAsia="Arial" w:hAnsi="Arial"/>
                <w:sz w:val="11"/>
                <w:szCs w:val="11"/>
                <w:color w:val="auto"/>
                <w:w w:val="97"/>
              </w:rPr>
              <w:t>$4.0M</w:t>
            </w:r>
          </w:p>
        </w:tc>
        <w:tc>
          <w:tcPr>
            <w:tcW w:w="34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1"/>
                <w:szCs w:val="11"/>
                <w:color w:val="auto"/>
                <w:w w:val="89"/>
              </w:rPr>
              <w:t>Q2'17</w:t>
            </w:r>
          </w:p>
        </w:tc>
      </w:tr>
      <w:tr>
        <w:trPr>
          <w:trHeight w:val="166"/>
        </w:trPr>
        <w:tc>
          <w:tcPr>
            <w:tcW w:w="4060" w:type="dxa"/>
            <w:vAlign w:val="bottom"/>
            <w:shd w:val="clear" w:color="auto" w:fill="CCEEFF"/>
          </w:tcPr>
          <w:p>
            <w:pPr>
              <w:spacing w:after="0"/>
              <w:rPr>
                <w:sz w:val="20"/>
                <w:szCs w:val="20"/>
                <w:color w:val="auto"/>
              </w:rPr>
            </w:pPr>
            <w:r>
              <w:rPr>
                <w:rFonts w:ascii="Arial" w:cs="Arial" w:eastAsia="Arial" w:hAnsi="Arial"/>
                <w:sz w:val="11"/>
                <w:szCs w:val="11"/>
                <w:color w:val="auto"/>
              </w:rPr>
              <w:t>Phase 2 clinical trial initiation</w:t>
            </w:r>
          </w:p>
        </w:tc>
        <w:tc>
          <w:tcPr>
            <w:tcW w:w="860" w:type="dxa"/>
            <w:vAlign w:val="bottom"/>
            <w:shd w:val="clear" w:color="auto" w:fill="CFF0FC"/>
          </w:tcPr>
          <w:p>
            <w:pPr>
              <w:jc w:val="center"/>
              <w:ind w:left="263"/>
              <w:spacing w:after="0"/>
              <w:rPr>
                <w:sz w:val="20"/>
                <w:szCs w:val="20"/>
                <w:color w:val="auto"/>
              </w:rPr>
            </w:pPr>
            <w:r>
              <w:rPr>
                <w:rFonts w:ascii="Arial" w:cs="Arial" w:eastAsia="Arial" w:hAnsi="Arial"/>
                <w:sz w:val="11"/>
                <w:szCs w:val="11"/>
                <w:color w:val="auto"/>
                <w:w w:val="97"/>
              </w:rPr>
              <w:t>$3.0M</w:t>
            </w:r>
          </w:p>
        </w:tc>
        <w:tc>
          <w:tcPr>
            <w:tcW w:w="1480" w:type="dxa"/>
            <w:vAlign w:val="bottom"/>
            <w:shd w:val="clear" w:color="auto" w:fill="CFF0FC"/>
          </w:tcPr>
          <w:p>
            <w:pPr>
              <w:jc w:val="center"/>
              <w:ind w:left="243"/>
              <w:spacing w:after="0"/>
              <w:rPr>
                <w:sz w:val="20"/>
                <w:szCs w:val="20"/>
                <w:color w:val="auto"/>
              </w:rPr>
            </w:pPr>
            <w:r>
              <w:rPr>
                <w:rFonts w:ascii="Arial" w:cs="Arial" w:eastAsia="Arial" w:hAnsi="Arial"/>
                <w:sz w:val="11"/>
                <w:szCs w:val="11"/>
                <w:color w:val="auto"/>
                <w:w w:val="89"/>
              </w:rPr>
              <w:t>Q2'17</w:t>
            </w: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center"/>
              <w:ind w:left="283"/>
              <w:spacing w:after="0"/>
              <w:rPr>
                <w:sz w:val="20"/>
                <w:szCs w:val="20"/>
                <w:color w:val="auto"/>
              </w:rPr>
            </w:pPr>
            <w:r>
              <w:rPr>
                <w:rFonts w:ascii="Arial" w:cs="Arial" w:eastAsia="Arial" w:hAnsi="Arial"/>
                <w:sz w:val="11"/>
                <w:szCs w:val="11"/>
                <w:color w:val="auto"/>
                <w:w w:val="97"/>
              </w:rPr>
              <w:t>$3.0M</w:t>
            </w:r>
          </w:p>
        </w:tc>
        <w:tc>
          <w:tcPr>
            <w:tcW w:w="3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center"/>
              <w:ind w:right="100"/>
              <w:spacing w:after="0"/>
              <w:rPr>
                <w:sz w:val="20"/>
                <w:szCs w:val="20"/>
                <w:color w:val="auto"/>
              </w:rPr>
            </w:pPr>
            <w:r>
              <w:rPr>
                <w:rFonts w:ascii="Arial" w:cs="Arial" w:eastAsia="Arial" w:hAnsi="Arial"/>
                <w:sz w:val="11"/>
                <w:szCs w:val="11"/>
                <w:color w:val="auto"/>
                <w:w w:val="96"/>
              </w:rPr>
              <w:t>Q4'17</w:t>
            </w:r>
          </w:p>
        </w:tc>
        <w:tc>
          <w:tcPr>
            <w:tcW w:w="820" w:type="dxa"/>
            <w:vAlign w:val="bottom"/>
            <w:shd w:val="clear" w:color="auto" w:fill="CFF0FC"/>
          </w:tcPr>
          <w:p>
            <w:pPr>
              <w:jc w:val="center"/>
              <w:ind w:left="303"/>
              <w:spacing w:after="0"/>
              <w:rPr>
                <w:sz w:val="20"/>
                <w:szCs w:val="20"/>
                <w:color w:val="auto"/>
              </w:rPr>
            </w:pPr>
            <w:r>
              <w:rPr>
                <w:rFonts w:ascii="Arial" w:cs="Arial" w:eastAsia="Arial" w:hAnsi="Arial"/>
                <w:sz w:val="11"/>
                <w:szCs w:val="11"/>
                <w:color w:val="auto"/>
                <w:w w:val="97"/>
              </w:rPr>
              <w:t>$3.0M</w:t>
            </w:r>
          </w:p>
        </w:tc>
        <w:tc>
          <w:tcPr>
            <w:tcW w:w="340" w:type="dxa"/>
            <w:vAlign w:val="bottom"/>
            <w:shd w:val="clear" w:color="auto" w:fill="CFF0FC"/>
          </w:tcPr>
          <w:p>
            <w:pPr>
              <w:spacing w:after="0"/>
              <w:rPr>
                <w:sz w:val="14"/>
                <w:szCs w:val="14"/>
                <w:color w:val="auto"/>
              </w:rPr>
            </w:pPr>
          </w:p>
        </w:tc>
        <w:tc>
          <w:tcPr>
            <w:tcW w:w="11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9"/>
              </w:rPr>
              <w:t>Q4'19</w:t>
            </w:r>
          </w:p>
        </w:tc>
      </w:tr>
      <w:tr>
        <w:trPr>
          <w:trHeight w:val="152"/>
        </w:trPr>
        <w:tc>
          <w:tcPr>
            <w:tcW w:w="4060" w:type="dxa"/>
            <w:vAlign w:val="bottom"/>
          </w:tcPr>
          <w:p>
            <w:pPr>
              <w:spacing w:after="0"/>
              <w:rPr>
                <w:sz w:val="20"/>
                <w:szCs w:val="20"/>
                <w:color w:val="auto"/>
              </w:rPr>
            </w:pPr>
            <w:r>
              <w:rPr>
                <w:rFonts w:ascii="Arial" w:cs="Arial" w:eastAsia="Arial" w:hAnsi="Arial"/>
                <w:sz w:val="11"/>
                <w:szCs w:val="11"/>
                <w:color w:val="auto"/>
              </w:rPr>
              <w:t>Phase 3 clinical trial initiation - first indication</w:t>
            </w:r>
          </w:p>
        </w:tc>
        <w:tc>
          <w:tcPr>
            <w:tcW w:w="860" w:type="dxa"/>
            <w:vAlign w:val="bottom"/>
          </w:tcPr>
          <w:p>
            <w:pPr>
              <w:jc w:val="center"/>
              <w:ind w:left="263"/>
              <w:spacing w:after="0"/>
              <w:rPr>
                <w:sz w:val="20"/>
                <w:szCs w:val="20"/>
                <w:color w:val="auto"/>
              </w:rPr>
            </w:pPr>
            <w:r>
              <w:rPr>
                <w:rFonts w:ascii="Arial" w:cs="Arial" w:eastAsia="Arial" w:hAnsi="Arial"/>
                <w:sz w:val="11"/>
                <w:szCs w:val="11"/>
                <w:color w:val="auto"/>
                <w:w w:val="97"/>
              </w:rPr>
              <w:t>$5.0M</w:t>
            </w:r>
          </w:p>
        </w:tc>
        <w:tc>
          <w:tcPr>
            <w:tcW w:w="1480" w:type="dxa"/>
            <w:vAlign w:val="bottom"/>
          </w:tcPr>
          <w:p>
            <w:pPr>
              <w:jc w:val="center"/>
              <w:ind w:left="243"/>
              <w:spacing w:after="0"/>
              <w:rPr>
                <w:sz w:val="20"/>
                <w:szCs w:val="20"/>
                <w:color w:val="auto"/>
              </w:rPr>
            </w:pPr>
            <w:r>
              <w:rPr>
                <w:rFonts w:ascii="Arial" w:cs="Arial" w:eastAsia="Arial" w:hAnsi="Arial"/>
                <w:sz w:val="11"/>
                <w:szCs w:val="11"/>
                <w:color w:val="auto"/>
                <w:w w:val="89"/>
              </w:rPr>
              <w:t>Q3'18</w:t>
            </w:r>
          </w:p>
        </w:tc>
        <w:tc>
          <w:tcPr>
            <w:tcW w:w="80" w:type="dxa"/>
            <w:vAlign w:val="bottom"/>
          </w:tcPr>
          <w:p>
            <w:pPr>
              <w:spacing w:after="0"/>
              <w:rPr>
                <w:sz w:val="13"/>
                <w:szCs w:val="13"/>
                <w:color w:val="auto"/>
              </w:rPr>
            </w:pPr>
          </w:p>
        </w:tc>
        <w:tc>
          <w:tcPr>
            <w:tcW w:w="840" w:type="dxa"/>
            <w:vAlign w:val="bottom"/>
          </w:tcPr>
          <w:p>
            <w:pPr>
              <w:jc w:val="center"/>
              <w:ind w:left="283"/>
              <w:spacing w:after="0"/>
              <w:rPr>
                <w:sz w:val="20"/>
                <w:szCs w:val="20"/>
                <w:color w:val="auto"/>
              </w:rPr>
            </w:pPr>
            <w:r>
              <w:rPr>
                <w:rFonts w:ascii="Arial" w:cs="Arial" w:eastAsia="Arial" w:hAnsi="Arial"/>
                <w:sz w:val="11"/>
                <w:szCs w:val="11"/>
                <w:color w:val="auto"/>
                <w:w w:val="97"/>
              </w:rPr>
              <w:t>$5.0M</w:t>
            </w:r>
          </w:p>
        </w:tc>
        <w:tc>
          <w:tcPr>
            <w:tcW w:w="340" w:type="dxa"/>
            <w:vAlign w:val="bottom"/>
          </w:tcPr>
          <w:p>
            <w:pPr>
              <w:spacing w:after="0"/>
              <w:rPr>
                <w:sz w:val="13"/>
                <w:szCs w:val="13"/>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1"/>
                <w:szCs w:val="11"/>
                <w:color w:val="auto"/>
              </w:rPr>
              <w:t>—</w:t>
            </w:r>
          </w:p>
        </w:tc>
        <w:tc>
          <w:tcPr>
            <w:tcW w:w="820" w:type="dxa"/>
            <w:vAlign w:val="bottom"/>
          </w:tcPr>
          <w:p>
            <w:pPr>
              <w:jc w:val="center"/>
              <w:ind w:left="303"/>
              <w:spacing w:after="0"/>
              <w:rPr>
                <w:sz w:val="20"/>
                <w:szCs w:val="20"/>
                <w:color w:val="auto"/>
              </w:rPr>
            </w:pPr>
            <w:r>
              <w:rPr>
                <w:rFonts w:ascii="Arial" w:cs="Arial" w:eastAsia="Arial" w:hAnsi="Arial"/>
                <w:sz w:val="11"/>
                <w:szCs w:val="11"/>
                <w:color w:val="auto"/>
                <w:w w:val="97"/>
              </w:rPr>
              <w:t>$5.0M</w:t>
            </w:r>
          </w:p>
        </w:tc>
        <w:tc>
          <w:tcPr>
            <w:tcW w:w="34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1"/>
                <w:szCs w:val="11"/>
                <w:color w:val="auto"/>
                <w:w w:val="90"/>
              </w:rPr>
              <w:t>—</w:t>
            </w:r>
          </w:p>
        </w:tc>
      </w:tr>
      <w:tr>
        <w:trPr>
          <w:trHeight w:val="166"/>
        </w:trPr>
        <w:tc>
          <w:tcPr>
            <w:tcW w:w="4060" w:type="dxa"/>
            <w:vAlign w:val="bottom"/>
            <w:shd w:val="clear" w:color="auto" w:fill="CCEEFF"/>
          </w:tcPr>
          <w:p>
            <w:pPr>
              <w:spacing w:after="0"/>
              <w:rPr>
                <w:sz w:val="20"/>
                <w:szCs w:val="20"/>
                <w:color w:val="auto"/>
              </w:rPr>
            </w:pPr>
            <w:r>
              <w:rPr>
                <w:rFonts w:ascii="Arial" w:cs="Arial" w:eastAsia="Arial" w:hAnsi="Arial"/>
                <w:sz w:val="11"/>
                <w:szCs w:val="11"/>
                <w:color w:val="auto"/>
              </w:rPr>
              <w:t>Phase 3 clinical trial initiation - second indication</w:t>
            </w:r>
          </w:p>
        </w:tc>
        <w:tc>
          <w:tcPr>
            <w:tcW w:w="860" w:type="dxa"/>
            <w:vAlign w:val="bottom"/>
            <w:shd w:val="clear" w:color="auto" w:fill="CFF0FC"/>
          </w:tcPr>
          <w:p>
            <w:pPr>
              <w:jc w:val="center"/>
              <w:ind w:left="263"/>
              <w:spacing w:after="0"/>
              <w:rPr>
                <w:sz w:val="20"/>
                <w:szCs w:val="20"/>
                <w:color w:val="auto"/>
              </w:rPr>
            </w:pPr>
            <w:r>
              <w:rPr>
                <w:rFonts w:ascii="Arial" w:cs="Arial" w:eastAsia="Arial" w:hAnsi="Arial"/>
                <w:sz w:val="11"/>
                <w:szCs w:val="11"/>
                <w:color w:val="auto"/>
                <w:w w:val="97"/>
              </w:rPr>
              <w:t>$5.0M</w:t>
            </w:r>
          </w:p>
        </w:tc>
        <w:tc>
          <w:tcPr>
            <w:tcW w:w="1480" w:type="dxa"/>
            <w:vAlign w:val="bottom"/>
            <w:shd w:val="clear" w:color="auto" w:fill="CFF0FC"/>
          </w:tcPr>
          <w:p>
            <w:pPr>
              <w:jc w:val="center"/>
              <w:ind w:left="243"/>
              <w:spacing w:after="0"/>
              <w:rPr>
                <w:sz w:val="20"/>
                <w:szCs w:val="20"/>
                <w:color w:val="auto"/>
              </w:rPr>
            </w:pPr>
            <w:r>
              <w:rPr>
                <w:rFonts w:ascii="Arial" w:cs="Arial" w:eastAsia="Arial" w:hAnsi="Arial"/>
                <w:sz w:val="11"/>
                <w:szCs w:val="11"/>
                <w:color w:val="auto"/>
                <w:w w:val="89"/>
              </w:rPr>
              <w:t>Q2'19</w:t>
            </w:r>
          </w:p>
        </w:tc>
        <w:tc>
          <w:tcPr>
            <w:tcW w:w="80" w:type="dxa"/>
            <w:vAlign w:val="bottom"/>
            <w:shd w:val="clear" w:color="auto" w:fill="CFF0FC"/>
          </w:tcPr>
          <w:p>
            <w:pPr>
              <w:spacing w:after="0"/>
              <w:rPr>
                <w:sz w:val="14"/>
                <w:szCs w:val="14"/>
                <w:color w:val="auto"/>
              </w:rPr>
            </w:pPr>
          </w:p>
        </w:tc>
        <w:tc>
          <w:tcPr>
            <w:tcW w:w="840" w:type="dxa"/>
            <w:vAlign w:val="bottom"/>
            <w:shd w:val="clear" w:color="auto" w:fill="CCEEFF"/>
          </w:tcPr>
          <w:p>
            <w:pPr>
              <w:jc w:val="center"/>
              <w:ind w:left="283"/>
              <w:spacing w:after="0"/>
              <w:rPr>
                <w:sz w:val="20"/>
                <w:szCs w:val="20"/>
                <w:color w:val="auto"/>
              </w:rPr>
            </w:pPr>
            <w:r>
              <w:rPr>
                <w:rFonts w:ascii="Arial" w:cs="Arial" w:eastAsia="Arial" w:hAnsi="Arial"/>
                <w:sz w:val="11"/>
                <w:szCs w:val="11"/>
                <w:color w:val="auto"/>
                <w:w w:val="97"/>
              </w:rPr>
              <w:t>$5.0M</w:t>
            </w:r>
          </w:p>
        </w:tc>
        <w:tc>
          <w:tcPr>
            <w:tcW w:w="340" w:type="dxa"/>
            <w:vAlign w:val="bottom"/>
            <w:shd w:val="clear" w:color="auto" w:fill="CCEEFF"/>
          </w:tcPr>
          <w:p>
            <w:pPr>
              <w:spacing w:after="0"/>
              <w:rPr>
                <w:sz w:val="14"/>
                <w:szCs w:val="14"/>
                <w:color w:val="auto"/>
              </w:rPr>
            </w:pPr>
          </w:p>
        </w:tc>
        <w:tc>
          <w:tcPr>
            <w:tcW w:w="1260" w:type="dxa"/>
            <w:vAlign w:val="bottom"/>
            <w:gridSpan w:val="2"/>
            <w:shd w:val="clear" w:color="auto" w:fill="CFF0FC"/>
          </w:tcPr>
          <w:p>
            <w:pPr>
              <w:jc w:val="center"/>
              <w:ind w:right="10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center"/>
              <w:ind w:left="303"/>
              <w:spacing w:after="0"/>
              <w:rPr>
                <w:sz w:val="20"/>
                <w:szCs w:val="20"/>
                <w:color w:val="auto"/>
              </w:rPr>
            </w:pPr>
            <w:r>
              <w:rPr>
                <w:rFonts w:ascii="Arial" w:cs="Arial" w:eastAsia="Arial" w:hAnsi="Arial"/>
                <w:sz w:val="11"/>
                <w:szCs w:val="11"/>
                <w:color w:val="auto"/>
                <w:w w:val="97"/>
              </w:rPr>
              <w:t>$5.0M</w:t>
            </w:r>
          </w:p>
        </w:tc>
        <w:tc>
          <w:tcPr>
            <w:tcW w:w="340" w:type="dxa"/>
            <w:vAlign w:val="bottom"/>
            <w:shd w:val="clear" w:color="auto" w:fill="CCEEFF"/>
          </w:tcPr>
          <w:p>
            <w:pPr>
              <w:spacing w:after="0"/>
              <w:rPr>
                <w:sz w:val="14"/>
                <w:szCs w:val="14"/>
                <w:color w:val="auto"/>
              </w:rPr>
            </w:pPr>
          </w:p>
        </w:tc>
        <w:tc>
          <w:tcPr>
            <w:tcW w:w="11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r>
      <w:tr>
        <w:trPr>
          <w:trHeight w:val="159"/>
        </w:trPr>
        <w:tc>
          <w:tcPr>
            <w:tcW w:w="4060" w:type="dxa"/>
            <w:vAlign w:val="bottom"/>
          </w:tcPr>
          <w:p>
            <w:pPr>
              <w:spacing w:after="0" w:line="159" w:lineRule="exact"/>
              <w:rPr>
                <w:sz w:val="20"/>
                <w:szCs w:val="20"/>
                <w:color w:val="auto"/>
              </w:rPr>
            </w:pPr>
            <w:r>
              <w:rPr>
                <w:rFonts w:ascii="Arial" w:cs="Arial" w:eastAsia="Arial" w:hAnsi="Arial"/>
                <w:sz w:val="11"/>
                <w:szCs w:val="11"/>
                <w:color w:val="auto"/>
              </w:rPr>
              <w:t>Filing of the first BLA</w:t>
            </w:r>
            <w:r>
              <w:rPr>
                <w:rFonts w:ascii="Arial" w:cs="Arial" w:eastAsia="Arial" w:hAnsi="Arial"/>
                <w:sz w:val="14"/>
                <w:szCs w:val="14"/>
                <w:color w:val="auto"/>
                <w:vertAlign w:val="superscript"/>
              </w:rPr>
              <w:t>(1)</w:t>
            </w:r>
            <w:r>
              <w:rPr>
                <w:rFonts w:ascii="Arial" w:cs="Arial" w:eastAsia="Arial" w:hAnsi="Arial"/>
                <w:sz w:val="11"/>
                <w:szCs w:val="11"/>
                <w:color w:val="auto"/>
              </w:rPr>
              <w:t xml:space="preserve"> - first indication</w:t>
            </w:r>
          </w:p>
        </w:tc>
        <w:tc>
          <w:tcPr>
            <w:tcW w:w="860" w:type="dxa"/>
            <w:vAlign w:val="bottom"/>
          </w:tcPr>
          <w:p>
            <w:pPr>
              <w:jc w:val="center"/>
              <w:ind w:left="243"/>
              <w:spacing w:after="0"/>
              <w:rPr>
                <w:sz w:val="20"/>
                <w:szCs w:val="20"/>
                <w:color w:val="auto"/>
              </w:rPr>
            </w:pPr>
            <w:r>
              <w:rPr>
                <w:rFonts w:ascii="Arial" w:cs="Arial" w:eastAsia="Arial" w:hAnsi="Arial"/>
                <w:sz w:val="11"/>
                <w:szCs w:val="11"/>
                <w:color w:val="auto"/>
                <w:w w:val="97"/>
              </w:rPr>
              <w:t>$10.0M</w:t>
            </w:r>
          </w:p>
        </w:tc>
        <w:tc>
          <w:tcPr>
            <w:tcW w:w="1480" w:type="dxa"/>
            <w:vAlign w:val="bottom"/>
          </w:tcPr>
          <w:p>
            <w:pPr>
              <w:jc w:val="center"/>
              <w:ind w:left="243"/>
              <w:spacing w:after="0"/>
              <w:rPr>
                <w:sz w:val="20"/>
                <w:szCs w:val="20"/>
                <w:color w:val="auto"/>
              </w:rPr>
            </w:pPr>
            <w:r>
              <w:rPr>
                <w:rFonts w:ascii="Arial" w:cs="Arial" w:eastAsia="Arial" w:hAnsi="Arial"/>
                <w:sz w:val="11"/>
                <w:szCs w:val="11"/>
                <w:color w:val="auto"/>
                <w:w w:val="89"/>
              </w:rPr>
              <w:t>Q1'20</w:t>
            </w:r>
          </w:p>
        </w:tc>
        <w:tc>
          <w:tcPr>
            <w:tcW w:w="80" w:type="dxa"/>
            <w:vAlign w:val="bottom"/>
          </w:tcPr>
          <w:p>
            <w:pPr>
              <w:spacing w:after="0"/>
              <w:rPr>
                <w:sz w:val="13"/>
                <w:szCs w:val="13"/>
                <w:color w:val="auto"/>
              </w:rPr>
            </w:pPr>
          </w:p>
        </w:tc>
        <w:tc>
          <w:tcPr>
            <w:tcW w:w="840" w:type="dxa"/>
            <w:vAlign w:val="bottom"/>
          </w:tcPr>
          <w:p>
            <w:pPr>
              <w:jc w:val="center"/>
              <w:ind w:left="283"/>
              <w:spacing w:after="0"/>
              <w:rPr>
                <w:sz w:val="20"/>
                <w:szCs w:val="20"/>
                <w:color w:val="auto"/>
              </w:rPr>
            </w:pPr>
            <w:r>
              <w:rPr>
                <w:rFonts w:ascii="Arial" w:cs="Arial" w:eastAsia="Arial" w:hAnsi="Arial"/>
                <w:sz w:val="11"/>
                <w:szCs w:val="11"/>
                <w:color w:val="auto"/>
                <w:w w:val="92"/>
              </w:rPr>
              <w:t>$10.0M</w:t>
            </w:r>
          </w:p>
        </w:tc>
        <w:tc>
          <w:tcPr>
            <w:tcW w:w="340" w:type="dxa"/>
            <w:vAlign w:val="bottom"/>
          </w:tcPr>
          <w:p>
            <w:pPr>
              <w:spacing w:after="0"/>
              <w:rPr>
                <w:sz w:val="13"/>
                <w:szCs w:val="13"/>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1"/>
                <w:szCs w:val="11"/>
                <w:color w:val="auto"/>
              </w:rPr>
              <w:t>—</w:t>
            </w:r>
          </w:p>
        </w:tc>
        <w:tc>
          <w:tcPr>
            <w:tcW w:w="820" w:type="dxa"/>
            <w:vAlign w:val="bottom"/>
          </w:tcPr>
          <w:p>
            <w:pPr>
              <w:jc w:val="center"/>
              <w:ind w:left="283"/>
              <w:spacing w:after="0"/>
              <w:rPr>
                <w:sz w:val="20"/>
                <w:szCs w:val="20"/>
                <w:color w:val="auto"/>
              </w:rPr>
            </w:pPr>
            <w:r>
              <w:rPr>
                <w:rFonts w:ascii="Arial" w:cs="Arial" w:eastAsia="Arial" w:hAnsi="Arial"/>
                <w:sz w:val="11"/>
                <w:szCs w:val="11"/>
                <w:color w:val="auto"/>
                <w:w w:val="97"/>
              </w:rPr>
              <w:t>$10.0M</w:t>
            </w:r>
          </w:p>
        </w:tc>
        <w:tc>
          <w:tcPr>
            <w:tcW w:w="34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1"/>
                <w:szCs w:val="11"/>
                <w:color w:val="auto"/>
                <w:w w:val="90"/>
              </w:rPr>
              <w:t>—</w:t>
            </w:r>
          </w:p>
        </w:tc>
      </w:tr>
      <w:tr>
        <w:trPr>
          <w:trHeight w:val="159"/>
        </w:trPr>
        <w:tc>
          <w:tcPr>
            <w:tcW w:w="4060" w:type="dxa"/>
            <w:vAlign w:val="bottom"/>
            <w:shd w:val="clear" w:color="auto" w:fill="CCEEFF"/>
          </w:tcPr>
          <w:p>
            <w:pPr>
              <w:spacing w:after="0" w:line="159" w:lineRule="exact"/>
              <w:rPr>
                <w:sz w:val="20"/>
                <w:szCs w:val="20"/>
                <w:color w:val="auto"/>
              </w:rPr>
            </w:pPr>
            <w:r>
              <w:rPr>
                <w:rFonts w:ascii="Arial" w:cs="Arial" w:eastAsia="Arial" w:hAnsi="Arial"/>
                <w:sz w:val="11"/>
                <w:szCs w:val="11"/>
                <w:color w:val="auto"/>
              </w:rPr>
              <w:t>Filing of the first MAA</w:t>
            </w:r>
            <w:r>
              <w:rPr>
                <w:rFonts w:ascii="Arial" w:cs="Arial" w:eastAsia="Arial" w:hAnsi="Arial"/>
                <w:sz w:val="14"/>
                <w:szCs w:val="14"/>
                <w:color w:val="auto"/>
                <w:vertAlign w:val="superscript"/>
              </w:rPr>
              <w:t>(2)</w:t>
            </w:r>
            <w:r>
              <w:rPr>
                <w:rFonts w:ascii="Arial" w:cs="Arial" w:eastAsia="Arial" w:hAnsi="Arial"/>
                <w:sz w:val="11"/>
                <w:szCs w:val="11"/>
                <w:color w:val="auto"/>
              </w:rPr>
              <w:t xml:space="preserve"> - first indication</w:t>
            </w:r>
          </w:p>
        </w:tc>
        <w:tc>
          <w:tcPr>
            <w:tcW w:w="860" w:type="dxa"/>
            <w:vAlign w:val="bottom"/>
            <w:shd w:val="clear" w:color="auto" w:fill="CCEEFF"/>
          </w:tcPr>
          <w:p>
            <w:pPr>
              <w:jc w:val="center"/>
              <w:ind w:left="263"/>
              <w:spacing w:after="0"/>
              <w:rPr>
                <w:sz w:val="20"/>
                <w:szCs w:val="20"/>
                <w:color w:val="auto"/>
              </w:rPr>
            </w:pPr>
            <w:r>
              <w:rPr>
                <w:rFonts w:ascii="Arial" w:cs="Arial" w:eastAsia="Arial" w:hAnsi="Arial"/>
                <w:sz w:val="11"/>
                <w:szCs w:val="11"/>
                <w:color w:val="auto"/>
                <w:w w:val="97"/>
              </w:rPr>
              <w:t>$5.0M</w:t>
            </w:r>
          </w:p>
        </w:tc>
        <w:tc>
          <w:tcPr>
            <w:tcW w:w="1480" w:type="dxa"/>
            <w:vAlign w:val="bottom"/>
            <w:shd w:val="clear" w:color="auto" w:fill="CCEEFF"/>
          </w:tcPr>
          <w:p>
            <w:pPr>
              <w:jc w:val="center"/>
              <w:ind w:left="243"/>
              <w:spacing w:after="0"/>
              <w:rPr>
                <w:sz w:val="20"/>
                <w:szCs w:val="20"/>
                <w:color w:val="auto"/>
              </w:rPr>
            </w:pPr>
            <w:r>
              <w:rPr>
                <w:rFonts w:ascii="Arial" w:cs="Arial" w:eastAsia="Arial" w:hAnsi="Arial"/>
                <w:sz w:val="11"/>
                <w:szCs w:val="11"/>
                <w:color w:val="auto"/>
                <w:w w:val="89"/>
              </w:rPr>
              <w:t>Q1'20</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center"/>
              <w:ind w:left="283"/>
              <w:spacing w:after="0"/>
              <w:rPr>
                <w:sz w:val="20"/>
                <w:szCs w:val="20"/>
                <w:color w:val="auto"/>
              </w:rPr>
            </w:pPr>
            <w:r>
              <w:rPr>
                <w:rFonts w:ascii="Arial" w:cs="Arial" w:eastAsia="Arial" w:hAnsi="Arial"/>
                <w:sz w:val="11"/>
                <w:szCs w:val="11"/>
                <w:color w:val="auto"/>
                <w:w w:val="97"/>
              </w:rPr>
              <w:t>$5.0M</w:t>
            </w:r>
          </w:p>
        </w:tc>
        <w:tc>
          <w:tcPr>
            <w:tcW w:w="3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center"/>
              <w:ind w:left="303"/>
              <w:spacing w:after="0"/>
              <w:rPr>
                <w:sz w:val="20"/>
                <w:szCs w:val="20"/>
                <w:color w:val="auto"/>
              </w:rPr>
            </w:pPr>
            <w:r>
              <w:rPr>
                <w:rFonts w:ascii="Arial" w:cs="Arial" w:eastAsia="Arial" w:hAnsi="Arial"/>
                <w:sz w:val="11"/>
                <w:szCs w:val="11"/>
                <w:color w:val="auto"/>
                <w:w w:val="97"/>
              </w:rPr>
              <w:t>$5.0M</w:t>
            </w: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0"/>
              </w:rPr>
              <w:t>—</w:t>
            </w:r>
          </w:p>
        </w:tc>
      </w:tr>
      <w:tr>
        <w:trPr>
          <w:trHeight w:val="152"/>
        </w:trPr>
        <w:tc>
          <w:tcPr>
            <w:tcW w:w="4060" w:type="dxa"/>
            <w:vAlign w:val="bottom"/>
          </w:tcPr>
          <w:p>
            <w:pPr>
              <w:spacing w:after="0"/>
              <w:rPr>
                <w:sz w:val="20"/>
                <w:szCs w:val="20"/>
                <w:color w:val="auto"/>
              </w:rPr>
            </w:pPr>
            <w:r>
              <w:rPr>
                <w:rFonts w:ascii="Arial" w:cs="Arial" w:eastAsia="Arial" w:hAnsi="Arial"/>
                <w:sz w:val="11"/>
                <w:szCs w:val="11"/>
                <w:color w:val="auto"/>
              </w:rPr>
              <w:t>Filing of the first BLA - second indication</w:t>
            </w:r>
          </w:p>
        </w:tc>
        <w:tc>
          <w:tcPr>
            <w:tcW w:w="860" w:type="dxa"/>
            <w:vAlign w:val="bottom"/>
          </w:tcPr>
          <w:p>
            <w:pPr>
              <w:jc w:val="center"/>
              <w:ind w:left="243"/>
              <w:spacing w:after="0"/>
              <w:rPr>
                <w:sz w:val="20"/>
                <w:szCs w:val="20"/>
                <w:color w:val="auto"/>
              </w:rPr>
            </w:pPr>
            <w:r>
              <w:rPr>
                <w:rFonts w:ascii="Arial" w:cs="Arial" w:eastAsia="Arial" w:hAnsi="Arial"/>
                <w:sz w:val="11"/>
                <w:szCs w:val="11"/>
                <w:color w:val="auto"/>
                <w:w w:val="97"/>
              </w:rPr>
              <w:t>$10.0M</w:t>
            </w:r>
          </w:p>
        </w:tc>
        <w:tc>
          <w:tcPr>
            <w:tcW w:w="1480" w:type="dxa"/>
            <w:vAlign w:val="bottom"/>
          </w:tcPr>
          <w:p>
            <w:pPr>
              <w:jc w:val="center"/>
              <w:ind w:left="243"/>
              <w:spacing w:after="0"/>
              <w:rPr>
                <w:sz w:val="20"/>
                <w:szCs w:val="20"/>
                <w:color w:val="auto"/>
              </w:rPr>
            </w:pPr>
            <w:r>
              <w:rPr>
                <w:rFonts w:ascii="Arial" w:cs="Arial" w:eastAsia="Arial" w:hAnsi="Arial"/>
                <w:sz w:val="11"/>
                <w:szCs w:val="11"/>
                <w:color w:val="auto"/>
                <w:w w:val="89"/>
              </w:rPr>
              <w:t>Q1'21</w:t>
            </w:r>
          </w:p>
        </w:tc>
        <w:tc>
          <w:tcPr>
            <w:tcW w:w="80" w:type="dxa"/>
            <w:vAlign w:val="bottom"/>
          </w:tcPr>
          <w:p>
            <w:pPr>
              <w:spacing w:after="0"/>
              <w:rPr>
                <w:sz w:val="13"/>
                <w:szCs w:val="13"/>
                <w:color w:val="auto"/>
              </w:rPr>
            </w:pPr>
          </w:p>
        </w:tc>
        <w:tc>
          <w:tcPr>
            <w:tcW w:w="840" w:type="dxa"/>
            <w:vAlign w:val="bottom"/>
          </w:tcPr>
          <w:p>
            <w:pPr>
              <w:jc w:val="center"/>
              <w:ind w:left="283"/>
              <w:spacing w:after="0"/>
              <w:rPr>
                <w:sz w:val="20"/>
                <w:szCs w:val="20"/>
                <w:color w:val="auto"/>
              </w:rPr>
            </w:pPr>
            <w:r>
              <w:rPr>
                <w:rFonts w:ascii="Arial" w:cs="Arial" w:eastAsia="Arial" w:hAnsi="Arial"/>
                <w:sz w:val="11"/>
                <w:szCs w:val="11"/>
                <w:color w:val="auto"/>
                <w:w w:val="92"/>
              </w:rPr>
              <w:t>$10.0M</w:t>
            </w:r>
          </w:p>
        </w:tc>
        <w:tc>
          <w:tcPr>
            <w:tcW w:w="340" w:type="dxa"/>
            <w:vAlign w:val="bottom"/>
          </w:tcPr>
          <w:p>
            <w:pPr>
              <w:spacing w:after="0"/>
              <w:rPr>
                <w:sz w:val="13"/>
                <w:szCs w:val="13"/>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1"/>
                <w:szCs w:val="11"/>
                <w:color w:val="auto"/>
              </w:rPr>
              <w:t>—</w:t>
            </w:r>
          </w:p>
        </w:tc>
        <w:tc>
          <w:tcPr>
            <w:tcW w:w="820" w:type="dxa"/>
            <w:vAlign w:val="bottom"/>
          </w:tcPr>
          <w:p>
            <w:pPr>
              <w:jc w:val="center"/>
              <w:ind w:left="283"/>
              <w:spacing w:after="0"/>
              <w:rPr>
                <w:sz w:val="20"/>
                <w:szCs w:val="20"/>
                <w:color w:val="auto"/>
              </w:rPr>
            </w:pPr>
            <w:r>
              <w:rPr>
                <w:rFonts w:ascii="Arial" w:cs="Arial" w:eastAsia="Arial" w:hAnsi="Arial"/>
                <w:sz w:val="11"/>
                <w:szCs w:val="11"/>
                <w:color w:val="auto"/>
                <w:w w:val="97"/>
              </w:rPr>
              <w:t>$10.0M</w:t>
            </w:r>
          </w:p>
        </w:tc>
        <w:tc>
          <w:tcPr>
            <w:tcW w:w="34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1"/>
                <w:szCs w:val="11"/>
                <w:color w:val="auto"/>
                <w:w w:val="90"/>
              </w:rPr>
              <w:t>—</w:t>
            </w:r>
          </w:p>
        </w:tc>
      </w:tr>
      <w:tr>
        <w:trPr>
          <w:trHeight w:val="166"/>
        </w:trPr>
        <w:tc>
          <w:tcPr>
            <w:tcW w:w="4060" w:type="dxa"/>
            <w:vAlign w:val="bottom"/>
            <w:shd w:val="clear" w:color="auto" w:fill="CCEEFF"/>
          </w:tcPr>
          <w:p>
            <w:pPr>
              <w:spacing w:after="0"/>
              <w:rPr>
                <w:sz w:val="20"/>
                <w:szCs w:val="20"/>
                <w:color w:val="auto"/>
              </w:rPr>
            </w:pPr>
            <w:r>
              <w:rPr>
                <w:rFonts w:ascii="Arial" w:cs="Arial" w:eastAsia="Arial" w:hAnsi="Arial"/>
                <w:sz w:val="11"/>
                <w:szCs w:val="11"/>
                <w:color w:val="auto"/>
              </w:rPr>
              <w:t>First BLA approval - first indication</w:t>
            </w:r>
          </w:p>
        </w:tc>
        <w:tc>
          <w:tcPr>
            <w:tcW w:w="860" w:type="dxa"/>
            <w:vAlign w:val="bottom"/>
            <w:shd w:val="clear" w:color="auto" w:fill="CCEEFF"/>
          </w:tcPr>
          <w:p>
            <w:pPr>
              <w:jc w:val="center"/>
              <w:ind w:left="243"/>
              <w:spacing w:after="0"/>
              <w:rPr>
                <w:sz w:val="20"/>
                <w:szCs w:val="20"/>
                <w:color w:val="auto"/>
              </w:rPr>
            </w:pPr>
            <w:r>
              <w:rPr>
                <w:rFonts w:ascii="Arial" w:cs="Arial" w:eastAsia="Arial" w:hAnsi="Arial"/>
                <w:sz w:val="11"/>
                <w:szCs w:val="11"/>
                <w:color w:val="auto"/>
                <w:w w:val="97"/>
              </w:rPr>
              <w:t>$20.0M</w:t>
            </w:r>
          </w:p>
        </w:tc>
        <w:tc>
          <w:tcPr>
            <w:tcW w:w="1480" w:type="dxa"/>
            <w:vAlign w:val="bottom"/>
            <w:shd w:val="clear" w:color="auto" w:fill="CCEEFF"/>
          </w:tcPr>
          <w:p>
            <w:pPr>
              <w:jc w:val="center"/>
              <w:ind w:left="243"/>
              <w:spacing w:after="0"/>
              <w:rPr>
                <w:sz w:val="20"/>
                <w:szCs w:val="20"/>
                <w:color w:val="auto"/>
              </w:rPr>
            </w:pPr>
            <w:r>
              <w:rPr>
                <w:rFonts w:ascii="Arial" w:cs="Arial" w:eastAsia="Arial" w:hAnsi="Arial"/>
                <w:sz w:val="11"/>
                <w:szCs w:val="11"/>
                <w:color w:val="auto"/>
                <w:w w:val="89"/>
              </w:rPr>
              <w:t>Q2'21</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center"/>
              <w:ind w:left="283"/>
              <w:spacing w:after="0"/>
              <w:rPr>
                <w:sz w:val="20"/>
                <w:szCs w:val="20"/>
                <w:color w:val="auto"/>
              </w:rPr>
            </w:pPr>
            <w:r>
              <w:rPr>
                <w:rFonts w:ascii="Arial" w:cs="Arial" w:eastAsia="Arial" w:hAnsi="Arial"/>
                <w:sz w:val="11"/>
                <w:szCs w:val="11"/>
                <w:color w:val="auto"/>
                <w:w w:val="92"/>
              </w:rPr>
              <w:t>$20.0M</w:t>
            </w:r>
          </w:p>
        </w:tc>
        <w:tc>
          <w:tcPr>
            <w:tcW w:w="3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center"/>
              <w:ind w:left="283"/>
              <w:spacing w:after="0"/>
              <w:rPr>
                <w:sz w:val="20"/>
                <w:szCs w:val="20"/>
                <w:color w:val="auto"/>
              </w:rPr>
            </w:pPr>
            <w:r>
              <w:rPr>
                <w:rFonts w:ascii="Arial" w:cs="Arial" w:eastAsia="Arial" w:hAnsi="Arial"/>
                <w:sz w:val="11"/>
                <w:szCs w:val="11"/>
                <w:color w:val="auto"/>
                <w:w w:val="97"/>
              </w:rPr>
              <w:t>$20.0M</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0"/>
              </w:rPr>
              <w:t>—</w:t>
            </w:r>
          </w:p>
        </w:tc>
      </w:tr>
      <w:tr>
        <w:trPr>
          <w:trHeight w:val="155"/>
        </w:trPr>
        <w:tc>
          <w:tcPr>
            <w:tcW w:w="4060" w:type="dxa"/>
            <w:vAlign w:val="bottom"/>
          </w:tcPr>
          <w:p>
            <w:pPr>
              <w:spacing w:after="0"/>
              <w:rPr>
                <w:sz w:val="20"/>
                <w:szCs w:val="20"/>
                <w:color w:val="auto"/>
              </w:rPr>
            </w:pPr>
            <w:r>
              <w:rPr>
                <w:rFonts w:ascii="Arial" w:cs="Arial" w:eastAsia="Arial" w:hAnsi="Arial"/>
                <w:sz w:val="11"/>
                <w:szCs w:val="11"/>
                <w:color w:val="auto"/>
              </w:rPr>
              <w:t>First MAA approval - first indication</w:t>
            </w:r>
          </w:p>
        </w:tc>
        <w:tc>
          <w:tcPr>
            <w:tcW w:w="860" w:type="dxa"/>
            <w:vAlign w:val="bottom"/>
          </w:tcPr>
          <w:p>
            <w:pPr>
              <w:jc w:val="center"/>
              <w:ind w:left="243"/>
              <w:spacing w:after="0"/>
              <w:rPr>
                <w:sz w:val="20"/>
                <w:szCs w:val="20"/>
                <w:color w:val="auto"/>
              </w:rPr>
            </w:pPr>
            <w:r>
              <w:rPr>
                <w:rFonts w:ascii="Arial" w:cs="Arial" w:eastAsia="Arial" w:hAnsi="Arial"/>
                <w:sz w:val="11"/>
                <w:szCs w:val="11"/>
                <w:color w:val="auto"/>
                <w:w w:val="97"/>
              </w:rPr>
              <w:t>$10.0M</w:t>
            </w:r>
          </w:p>
        </w:tc>
        <w:tc>
          <w:tcPr>
            <w:tcW w:w="1480" w:type="dxa"/>
            <w:vAlign w:val="bottom"/>
          </w:tcPr>
          <w:p>
            <w:pPr>
              <w:jc w:val="center"/>
              <w:ind w:left="243"/>
              <w:spacing w:after="0"/>
              <w:rPr>
                <w:sz w:val="20"/>
                <w:szCs w:val="20"/>
                <w:color w:val="auto"/>
              </w:rPr>
            </w:pPr>
            <w:r>
              <w:rPr>
                <w:rFonts w:ascii="Arial" w:cs="Arial" w:eastAsia="Arial" w:hAnsi="Arial"/>
                <w:sz w:val="11"/>
                <w:szCs w:val="11"/>
                <w:color w:val="auto"/>
                <w:w w:val="89"/>
              </w:rPr>
              <w:t>Q2'21</w:t>
            </w:r>
          </w:p>
        </w:tc>
        <w:tc>
          <w:tcPr>
            <w:tcW w:w="80" w:type="dxa"/>
            <w:vAlign w:val="bottom"/>
          </w:tcPr>
          <w:p>
            <w:pPr>
              <w:spacing w:after="0"/>
              <w:rPr>
                <w:sz w:val="13"/>
                <w:szCs w:val="13"/>
                <w:color w:val="auto"/>
              </w:rPr>
            </w:pPr>
          </w:p>
        </w:tc>
        <w:tc>
          <w:tcPr>
            <w:tcW w:w="840" w:type="dxa"/>
            <w:vAlign w:val="bottom"/>
          </w:tcPr>
          <w:p>
            <w:pPr>
              <w:jc w:val="center"/>
              <w:ind w:left="283"/>
              <w:spacing w:after="0"/>
              <w:rPr>
                <w:sz w:val="20"/>
                <w:szCs w:val="20"/>
                <w:color w:val="auto"/>
              </w:rPr>
            </w:pPr>
            <w:r>
              <w:rPr>
                <w:rFonts w:ascii="Arial" w:cs="Arial" w:eastAsia="Arial" w:hAnsi="Arial"/>
                <w:sz w:val="11"/>
                <w:szCs w:val="11"/>
                <w:color w:val="auto"/>
                <w:w w:val="92"/>
              </w:rPr>
              <w:t>$10.0M</w:t>
            </w:r>
          </w:p>
        </w:tc>
        <w:tc>
          <w:tcPr>
            <w:tcW w:w="340" w:type="dxa"/>
            <w:vAlign w:val="bottom"/>
          </w:tcPr>
          <w:p>
            <w:pPr>
              <w:spacing w:after="0"/>
              <w:rPr>
                <w:sz w:val="13"/>
                <w:szCs w:val="13"/>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1"/>
                <w:szCs w:val="11"/>
                <w:color w:val="auto"/>
              </w:rPr>
              <w:t>—</w:t>
            </w:r>
          </w:p>
        </w:tc>
        <w:tc>
          <w:tcPr>
            <w:tcW w:w="820" w:type="dxa"/>
            <w:vAlign w:val="bottom"/>
          </w:tcPr>
          <w:p>
            <w:pPr>
              <w:jc w:val="center"/>
              <w:ind w:left="283"/>
              <w:spacing w:after="0"/>
              <w:rPr>
                <w:sz w:val="20"/>
                <w:szCs w:val="20"/>
                <w:color w:val="auto"/>
              </w:rPr>
            </w:pPr>
            <w:r>
              <w:rPr>
                <w:rFonts w:ascii="Arial" w:cs="Arial" w:eastAsia="Arial" w:hAnsi="Arial"/>
                <w:sz w:val="11"/>
                <w:szCs w:val="11"/>
                <w:color w:val="auto"/>
                <w:w w:val="97"/>
              </w:rPr>
              <w:t>$10.0M</w:t>
            </w:r>
          </w:p>
        </w:tc>
        <w:tc>
          <w:tcPr>
            <w:tcW w:w="34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1"/>
                <w:szCs w:val="11"/>
                <w:color w:val="auto"/>
                <w:w w:val="90"/>
              </w:rPr>
              <w:t>—</w:t>
            </w:r>
          </w:p>
        </w:tc>
      </w:tr>
      <w:tr>
        <w:trPr>
          <w:trHeight w:val="163"/>
        </w:trPr>
        <w:tc>
          <w:tcPr>
            <w:tcW w:w="4060" w:type="dxa"/>
            <w:vAlign w:val="bottom"/>
            <w:shd w:val="clear" w:color="auto" w:fill="CCEEFF"/>
          </w:tcPr>
          <w:p>
            <w:pPr>
              <w:spacing w:after="0"/>
              <w:rPr>
                <w:sz w:val="20"/>
                <w:szCs w:val="20"/>
                <w:color w:val="auto"/>
              </w:rPr>
            </w:pPr>
            <w:r>
              <w:rPr>
                <w:rFonts w:ascii="Arial" w:cs="Arial" w:eastAsia="Arial" w:hAnsi="Arial"/>
                <w:sz w:val="11"/>
                <w:szCs w:val="11"/>
                <w:color w:val="auto"/>
              </w:rPr>
              <w:t>First BLA approval - second indication</w:t>
            </w:r>
          </w:p>
        </w:tc>
        <w:tc>
          <w:tcPr>
            <w:tcW w:w="860" w:type="dxa"/>
            <w:vAlign w:val="bottom"/>
            <w:shd w:val="clear" w:color="auto" w:fill="CCEEFF"/>
          </w:tcPr>
          <w:p>
            <w:pPr>
              <w:jc w:val="center"/>
              <w:ind w:left="243"/>
              <w:spacing w:after="0"/>
              <w:rPr>
                <w:sz w:val="20"/>
                <w:szCs w:val="20"/>
                <w:color w:val="auto"/>
              </w:rPr>
            </w:pPr>
            <w:r>
              <w:rPr>
                <w:rFonts w:ascii="Arial" w:cs="Arial" w:eastAsia="Arial" w:hAnsi="Arial"/>
                <w:sz w:val="11"/>
                <w:szCs w:val="11"/>
                <w:color w:val="auto"/>
                <w:w w:val="97"/>
              </w:rPr>
              <w:t>$20.0M</w:t>
            </w:r>
          </w:p>
        </w:tc>
        <w:tc>
          <w:tcPr>
            <w:tcW w:w="1480" w:type="dxa"/>
            <w:vAlign w:val="bottom"/>
            <w:shd w:val="clear" w:color="auto" w:fill="CCEEFF"/>
          </w:tcPr>
          <w:p>
            <w:pPr>
              <w:jc w:val="center"/>
              <w:ind w:left="243"/>
              <w:spacing w:after="0"/>
              <w:rPr>
                <w:sz w:val="20"/>
                <w:szCs w:val="20"/>
                <w:color w:val="auto"/>
              </w:rPr>
            </w:pPr>
            <w:r>
              <w:rPr>
                <w:rFonts w:ascii="Arial" w:cs="Arial" w:eastAsia="Arial" w:hAnsi="Arial"/>
                <w:sz w:val="11"/>
                <w:szCs w:val="11"/>
                <w:color w:val="auto"/>
                <w:w w:val="89"/>
              </w:rPr>
              <w:t>Q3'21</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center"/>
              <w:ind w:left="283"/>
              <w:spacing w:after="0"/>
              <w:rPr>
                <w:sz w:val="20"/>
                <w:szCs w:val="20"/>
                <w:color w:val="auto"/>
              </w:rPr>
            </w:pPr>
            <w:r>
              <w:rPr>
                <w:rFonts w:ascii="Arial" w:cs="Arial" w:eastAsia="Arial" w:hAnsi="Arial"/>
                <w:sz w:val="11"/>
                <w:szCs w:val="11"/>
                <w:color w:val="auto"/>
                <w:w w:val="92"/>
              </w:rPr>
              <w:t>$20.0M</w:t>
            </w:r>
          </w:p>
        </w:tc>
        <w:tc>
          <w:tcPr>
            <w:tcW w:w="3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center"/>
              <w:ind w:left="283"/>
              <w:spacing w:after="0"/>
              <w:rPr>
                <w:sz w:val="20"/>
                <w:szCs w:val="20"/>
                <w:color w:val="auto"/>
              </w:rPr>
            </w:pPr>
            <w:r>
              <w:rPr>
                <w:rFonts w:ascii="Arial" w:cs="Arial" w:eastAsia="Arial" w:hAnsi="Arial"/>
                <w:sz w:val="11"/>
                <w:szCs w:val="11"/>
                <w:color w:val="auto"/>
                <w:w w:val="97"/>
              </w:rPr>
              <w:t>$20.0M</w:t>
            </w: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0"/>
              </w:rPr>
              <w:t>—</w:t>
            </w:r>
          </w:p>
        </w:tc>
      </w:tr>
      <w:tr>
        <w:trPr>
          <w:trHeight w:val="159"/>
        </w:trPr>
        <w:tc>
          <w:tcPr>
            <w:tcW w:w="4060" w:type="dxa"/>
            <w:vAlign w:val="bottom"/>
          </w:tcPr>
          <w:p>
            <w:pPr>
              <w:spacing w:after="0" w:line="159" w:lineRule="exact"/>
              <w:rPr>
                <w:sz w:val="20"/>
                <w:szCs w:val="20"/>
                <w:color w:val="auto"/>
              </w:rPr>
            </w:pPr>
            <w:r>
              <w:rPr>
                <w:rFonts w:ascii="Arial" w:cs="Arial" w:eastAsia="Arial" w:hAnsi="Arial"/>
                <w:sz w:val="11"/>
                <w:szCs w:val="11"/>
                <w:color w:val="auto"/>
              </w:rPr>
              <w:t>Filing of the first MAA - second indication</w:t>
            </w:r>
            <w:r>
              <w:rPr>
                <w:rFonts w:ascii="Arial" w:cs="Arial" w:eastAsia="Arial" w:hAnsi="Arial"/>
                <w:sz w:val="14"/>
                <w:szCs w:val="14"/>
                <w:color w:val="auto"/>
                <w:vertAlign w:val="superscript"/>
              </w:rPr>
              <w:t>(3)</w:t>
            </w:r>
          </w:p>
        </w:tc>
        <w:tc>
          <w:tcPr>
            <w:tcW w:w="860" w:type="dxa"/>
            <w:vAlign w:val="bottom"/>
          </w:tcPr>
          <w:p>
            <w:pPr>
              <w:jc w:val="center"/>
              <w:ind w:left="263"/>
              <w:spacing w:after="0"/>
              <w:rPr>
                <w:sz w:val="20"/>
                <w:szCs w:val="20"/>
                <w:color w:val="auto"/>
              </w:rPr>
            </w:pPr>
            <w:r>
              <w:rPr>
                <w:rFonts w:ascii="Arial" w:cs="Arial" w:eastAsia="Arial" w:hAnsi="Arial"/>
                <w:sz w:val="11"/>
                <w:szCs w:val="11"/>
                <w:color w:val="auto"/>
                <w:w w:val="97"/>
              </w:rPr>
              <w:t>$5.0M</w:t>
            </w:r>
          </w:p>
        </w:tc>
        <w:tc>
          <w:tcPr>
            <w:tcW w:w="1480" w:type="dxa"/>
            <w:vAlign w:val="bottom"/>
          </w:tcPr>
          <w:p>
            <w:pPr>
              <w:jc w:val="center"/>
              <w:ind w:left="243"/>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3"/>
                <w:szCs w:val="13"/>
                <w:color w:val="auto"/>
              </w:rPr>
            </w:pPr>
          </w:p>
        </w:tc>
        <w:tc>
          <w:tcPr>
            <w:tcW w:w="840" w:type="dxa"/>
            <w:vAlign w:val="bottom"/>
          </w:tcPr>
          <w:p>
            <w:pPr>
              <w:jc w:val="center"/>
              <w:ind w:left="283"/>
              <w:spacing w:after="0"/>
              <w:rPr>
                <w:sz w:val="20"/>
                <w:szCs w:val="20"/>
                <w:color w:val="auto"/>
              </w:rPr>
            </w:pPr>
            <w:r>
              <w:rPr>
                <w:rFonts w:ascii="Arial" w:cs="Arial" w:eastAsia="Arial" w:hAnsi="Arial"/>
                <w:sz w:val="11"/>
                <w:szCs w:val="11"/>
                <w:color w:val="auto"/>
                <w:w w:val="97"/>
              </w:rPr>
              <w:t>$5.0M</w:t>
            </w:r>
          </w:p>
        </w:tc>
        <w:tc>
          <w:tcPr>
            <w:tcW w:w="340" w:type="dxa"/>
            <w:vAlign w:val="bottom"/>
          </w:tcPr>
          <w:p>
            <w:pPr>
              <w:spacing w:after="0"/>
              <w:rPr>
                <w:sz w:val="13"/>
                <w:szCs w:val="13"/>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1"/>
                <w:szCs w:val="11"/>
                <w:color w:val="auto"/>
              </w:rPr>
              <w:t>—</w:t>
            </w:r>
          </w:p>
        </w:tc>
        <w:tc>
          <w:tcPr>
            <w:tcW w:w="820" w:type="dxa"/>
            <w:vAlign w:val="bottom"/>
          </w:tcPr>
          <w:p>
            <w:pPr>
              <w:jc w:val="center"/>
              <w:ind w:left="303"/>
              <w:spacing w:after="0"/>
              <w:rPr>
                <w:sz w:val="20"/>
                <w:szCs w:val="20"/>
                <w:color w:val="auto"/>
              </w:rPr>
            </w:pPr>
            <w:r>
              <w:rPr>
                <w:rFonts w:ascii="Arial" w:cs="Arial" w:eastAsia="Arial" w:hAnsi="Arial"/>
                <w:sz w:val="11"/>
                <w:szCs w:val="11"/>
                <w:color w:val="auto"/>
                <w:w w:val="97"/>
              </w:rPr>
              <w:t>$5.0M</w:t>
            </w:r>
          </w:p>
        </w:tc>
        <w:tc>
          <w:tcPr>
            <w:tcW w:w="34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1"/>
                <w:szCs w:val="11"/>
                <w:color w:val="auto"/>
                <w:w w:val="90"/>
              </w:rPr>
              <w:t>—</w:t>
            </w:r>
          </w:p>
        </w:tc>
      </w:tr>
      <w:tr>
        <w:trPr>
          <w:trHeight w:val="159"/>
        </w:trPr>
        <w:tc>
          <w:tcPr>
            <w:tcW w:w="4060" w:type="dxa"/>
            <w:vAlign w:val="bottom"/>
            <w:shd w:val="clear" w:color="auto" w:fill="CCEEFF"/>
          </w:tcPr>
          <w:p>
            <w:pPr>
              <w:spacing w:after="0" w:line="159" w:lineRule="exact"/>
              <w:rPr>
                <w:sz w:val="20"/>
                <w:szCs w:val="20"/>
                <w:color w:val="auto"/>
              </w:rPr>
            </w:pPr>
            <w:r>
              <w:rPr>
                <w:rFonts w:ascii="Arial" w:cs="Arial" w:eastAsia="Arial" w:hAnsi="Arial"/>
                <w:sz w:val="11"/>
                <w:szCs w:val="11"/>
                <w:color w:val="auto"/>
              </w:rPr>
              <w:t>First MAA approval - second indication</w:t>
            </w:r>
            <w:r>
              <w:rPr>
                <w:rFonts w:ascii="Arial" w:cs="Arial" w:eastAsia="Arial" w:hAnsi="Arial"/>
                <w:sz w:val="14"/>
                <w:szCs w:val="14"/>
                <w:color w:val="auto"/>
                <w:vertAlign w:val="superscript"/>
              </w:rPr>
              <w:t>(3)</w:t>
            </w:r>
          </w:p>
        </w:tc>
        <w:tc>
          <w:tcPr>
            <w:tcW w:w="860" w:type="dxa"/>
            <w:vAlign w:val="bottom"/>
            <w:shd w:val="clear" w:color="auto" w:fill="CCEEFF"/>
          </w:tcPr>
          <w:p>
            <w:pPr>
              <w:jc w:val="center"/>
              <w:ind w:left="243"/>
              <w:spacing w:after="0"/>
              <w:rPr>
                <w:sz w:val="20"/>
                <w:szCs w:val="20"/>
                <w:color w:val="auto"/>
              </w:rPr>
            </w:pPr>
            <w:r>
              <w:rPr>
                <w:rFonts w:ascii="Arial" w:cs="Arial" w:eastAsia="Arial" w:hAnsi="Arial"/>
                <w:sz w:val="11"/>
                <w:szCs w:val="11"/>
                <w:color w:val="auto"/>
                <w:w w:val="97"/>
              </w:rPr>
              <w:t>$10.0M</w:t>
            </w:r>
          </w:p>
        </w:tc>
        <w:tc>
          <w:tcPr>
            <w:tcW w:w="1480" w:type="dxa"/>
            <w:vAlign w:val="bottom"/>
            <w:shd w:val="clear" w:color="auto" w:fill="CCEEFF"/>
          </w:tcPr>
          <w:p>
            <w:pPr>
              <w:jc w:val="center"/>
              <w:ind w:left="243"/>
              <w:spacing w:after="0"/>
              <w:rPr>
                <w:sz w:val="20"/>
                <w:szCs w:val="20"/>
                <w:color w:val="auto"/>
              </w:rPr>
            </w:pPr>
            <w:r>
              <w:rPr>
                <w:rFonts w:ascii="Arial" w:cs="Arial" w:eastAsia="Arial" w:hAnsi="Arial"/>
                <w:sz w:val="11"/>
                <w:szCs w:val="11"/>
                <w:color w:val="auto"/>
                <w:w w:val="90"/>
              </w:rPr>
              <w:t>—</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center"/>
              <w:ind w:left="283"/>
              <w:spacing w:after="0"/>
              <w:rPr>
                <w:sz w:val="20"/>
                <w:szCs w:val="20"/>
                <w:color w:val="auto"/>
              </w:rPr>
            </w:pPr>
            <w:r>
              <w:rPr>
                <w:rFonts w:ascii="Arial" w:cs="Arial" w:eastAsia="Arial" w:hAnsi="Arial"/>
                <w:sz w:val="11"/>
                <w:szCs w:val="11"/>
                <w:color w:val="auto"/>
                <w:w w:val="92"/>
              </w:rPr>
              <w:t>$10.0M</w:t>
            </w:r>
          </w:p>
        </w:tc>
        <w:tc>
          <w:tcPr>
            <w:tcW w:w="3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center"/>
              <w:ind w:left="283"/>
              <w:spacing w:after="0"/>
              <w:rPr>
                <w:sz w:val="20"/>
                <w:szCs w:val="20"/>
                <w:color w:val="auto"/>
              </w:rPr>
            </w:pPr>
            <w:r>
              <w:rPr>
                <w:rFonts w:ascii="Arial" w:cs="Arial" w:eastAsia="Arial" w:hAnsi="Arial"/>
                <w:sz w:val="11"/>
                <w:szCs w:val="11"/>
                <w:color w:val="auto"/>
                <w:w w:val="97"/>
              </w:rPr>
              <w:t>$10.0M</w:t>
            </w: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0"/>
              </w:rPr>
              <w:t>—</w:t>
            </w:r>
          </w:p>
        </w:tc>
      </w:tr>
      <w:tr>
        <w:trPr>
          <w:trHeight w:val="159"/>
        </w:trPr>
        <w:tc>
          <w:tcPr>
            <w:tcW w:w="4060" w:type="dxa"/>
            <w:vAlign w:val="bottom"/>
          </w:tcPr>
          <w:p>
            <w:pPr>
              <w:spacing w:after="0" w:line="159" w:lineRule="exact"/>
              <w:rPr>
                <w:sz w:val="20"/>
                <w:szCs w:val="20"/>
                <w:color w:val="auto"/>
              </w:rPr>
            </w:pPr>
            <w:r>
              <w:rPr>
                <w:rFonts w:ascii="Arial" w:cs="Arial" w:eastAsia="Arial" w:hAnsi="Arial"/>
                <w:sz w:val="11"/>
                <w:szCs w:val="11"/>
                <w:color w:val="auto"/>
              </w:rPr>
              <w:t>First commercial sales milestone</w:t>
            </w:r>
            <w:r>
              <w:rPr>
                <w:rFonts w:ascii="Arial" w:cs="Arial" w:eastAsia="Arial" w:hAnsi="Arial"/>
                <w:sz w:val="14"/>
                <w:szCs w:val="14"/>
                <w:color w:val="auto"/>
                <w:vertAlign w:val="superscript"/>
              </w:rPr>
              <w:t>(3)</w:t>
            </w:r>
          </w:p>
        </w:tc>
        <w:tc>
          <w:tcPr>
            <w:tcW w:w="860" w:type="dxa"/>
            <w:vAlign w:val="bottom"/>
          </w:tcPr>
          <w:p>
            <w:pPr>
              <w:jc w:val="center"/>
              <w:ind w:left="243"/>
              <w:spacing w:after="0"/>
              <w:rPr>
                <w:sz w:val="20"/>
                <w:szCs w:val="20"/>
                <w:color w:val="auto"/>
              </w:rPr>
            </w:pPr>
            <w:r>
              <w:rPr>
                <w:rFonts w:ascii="Arial" w:cs="Arial" w:eastAsia="Arial" w:hAnsi="Arial"/>
                <w:sz w:val="11"/>
                <w:szCs w:val="11"/>
                <w:color w:val="auto"/>
                <w:w w:val="97"/>
              </w:rPr>
              <w:t>$15.0M</w:t>
            </w:r>
          </w:p>
        </w:tc>
        <w:tc>
          <w:tcPr>
            <w:tcW w:w="1480" w:type="dxa"/>
            <w:vAlign w:val="bottom"/>
          </w:tcPr>
          <w:p>
            <w:pPr>
              <w:jc w:val="center"/>
              <w:ind w:left="243"/>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3"/>
                <w:szCs w:val="13"/>
                <w:color w:val="auto"/>
              </w:rPr>
            </w:pPr>
          </w:p>
        </w:tc>
        <w:tc>
          <w:tcPr>
            <w:tcW w:w="840" w:type="dxa"/>
            <w:vAlign w:val="bottom"/>
          </w:tcPr>
          <w:p>
            <w:pPr>
              <w:jc w:val="center"/>
              <w:ind w:left="283"/>
              <w:spacing w:after="0"/>
              <w:rPr>
                <w:sz w:val="20"/>
                <w:szCs w:val="20"/>
                <w:color w:val="auto"/>
              </w:rPr>
            </w:pPr>
            <w:r>
              <w:rPr>
                <w:rFonts w:ascii="Arial" w:cs="Arial" w:eastAsia="Arial" w:hAnsi="Arial"/>
                <w:sz w:val="11"/>
                <w:szCs w:val="11"/>
                <w:color w:val="auto"/>
                <w:w w:val="92"/>
              </w:rPr>
              <w:t>$15.0M</w:t>
            </w:r>
          </w:p>
        </w:tc>
        <w:tc>
          <w:tcPr>
            <w:tcW w:w="340" w:type="dxa"/>
            <w:vAlign w:val="bottom"/>
          </w:tcPr>
          <w:p>
            <w:pPr>
              <w:spacing w:after="0"/>
              <w:rPr>
                <w:sz w:val="13"/>
                <w:szCs w:val="13"/>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1"/>
                <w:szCs w:val="11"/>
                <w:color w:val="auto"/>
              </w:rPr>
              <w:t>—</w:t>
            </w:r>
          </w:p>
        </w:tc>
        <w:tc>
          <w:tcPr>
            <w:tcW w:w="820" w:type="dxa"/>
            <w:vAlign w:val="bottom"/>
          </w:tcPr>
          <w:p>
            <w:pPr>
              <w:jc w:val="center"/>
              <w:ind w:left="283"/>
              <w:spacing w:after="0"/>
              <w:rPr>
                <w:sz w:val="20"/>
                <w:szCs w:val="20"/>
                <w:color w:val="auto"/>
              </w:rPr>
            </w:pPr>
            <w:r>
              <w:rPr>
                <w:rFonts w:ascii="Arial" w:cs="Arial" w:eastAsia="Arial" w:hAnsi="Arial"/>
                <w:sz w:val="11"/>
                <w:szCs w:val="11"/>
                <w:color w:val="auto"/>
                <w:w w:val="97"/>
              </w:rPr>
              <w:t>$15.0M</w:t>
            </w:r>
          </w:p>
        </w:tc>
        <w:tc>
          <w:tcPr>
            <w:tcW w:w="34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1"/>
                <w:szCs w:val="11"/>
                <w:color w:val="auto"/>
                <w:w w:val="90"/>
              </w:rPr>
              <w:t>—</w:t>
            </w:r>
          </w:p>
        </w:tc>
      </w:tr>
      <w:tr>
        <w:trPr>
          <w:trHeight w:val="159"/>
        </w:trPr>
        <w:tc>
          <w:tcPr>
            <w:tcW w:w="4060" w:type="dxa"/>
            <w:vAlign w:val="bottom"/>
            <w:shd w:val="clear" w:color="auto" w:fill="CCEEFF"/>
          </w:tcPr>
          <w:p>
            <w:pPr>
              <w:spacing w:after="0" w:line="159" w:lineRule="exact"/>
              <w:rPr>
                <w:sz w:val="20"/>
                <w:szCs w:val="20"/>
                <w:color w:val="auto"/>
              </w:rPr>
            </w:pPr>
            <w:r>
              <w:rPr>
                <w:rFonts w:ascii="Arial" w:cs="Arial" w:eastAsia="Arial" w:hAnsi="Arial"/>
                <w:sz w:val="11"/>
                <w:szCs w:val="11"/>
                <w:color w:val="auto"/>
              </w:rPr>
              <w:t>Second commercial sales milestone</w:t>
            </w:r>
            <w:r>
              <w:rPr>
                <w:rFonts w:ascii="Arial" w:cs="Arial" w:eastAsia="Arial" w:hAnsi="Arial"/>
                <w:sz w:val="14"/>
                <w:szCs w:val="14"/>
                <w:color w:val="auto"/>
                <w:vertAlign w:val="superscript"/>
              </w:rPr>
              <w:t>(3)</w:t>
            </w:r>
          </w:p>
        </w:tc>
        <w:tc>
          <w:tcPr>
            <w:tcW w:w="860" w:type="dxa"/>
            <w:vAlign w:val="bottom"/>
            <w:shd w:val="clear" w:color="auto" w:fill="CCEEFF"/>
          </w:tcPr>
          <w:p>
            <w:pPr>
              <w:jc w:val="center"/>
              <w:ind w:left="243"/>
              <w:spacing w:after="0"/>
              <w:rPr>
                <w:sz w:val="20"/>
                <w:szCs w:val="20"/>
                <w:color w:val="auto"/>
              </w:rPr>
            </w:pPr>
            <w:r>
              <w:rPr>
                <w:rFonts w:ascii="Arial" w:cs="Arial" w:eastAsia="Arial" w:hAnsi="Arial"/>
                <w:sz w:val="11"/>
                <w:szCs w:val="11"/>
                <w:color w:val="auto"/>
                <w:w w:val="97"/>
              </w:rPr>
              <w:t>$25.0M</w:t>
            </w:r>
          </w:p>
        </w:tc>
        <w:tc>
          <w:tcPr>
            <w:tcW w:w="1480" w:type="dxa"/>
            <w:vAlign w:val="bottom"/>
            <w:shd w:val="clear" w:color="auto" w:fill="CCEEFF"/>
          </w:tcPr>
          <w:p>
            <w:pPr>
              <w:jc w:val="center"/>
              <w:ind w:left="243"/>
              <w:spacing w:after="0"/>
              <w:rPr>
                <w:sz w:val="20"/>
                <w:szCs w:val="20"/>
                <w:color w:val="auto"/>
              </w:rPr>
            </w:pPr>
            <w:r>
              <w:rPr>
                <w:rFonts w:ascii="Arial" w:cs="Arial" w:eastAsia="Arial" w:hAnsi="Arial"/>
                <w:sz w:val="11"/>
                <w:szCs w:val="11"/>
                <w:color w:val="auto"/>
                <w:w w:val="90"/>
              </w:rPr>
              <w:t>—</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center"/>
              <w:ind w:left="283"/>
              <w:spacing w:after="0"/>
              <w:rPr>
                <w:sz w:val="20"/>
                <w:szCs w:val="20"/>
                <w:color w:val="auto"/>
              </w:rPr>
            </w:pPr>
            <w:r>
              <w:rPr>
                <w:rFonts w:ascii="Arial" w:cs="Arial" w:eastAsia="Arial" w:hAnsi="Arial"/>
                <w:sz w:val="11"/>
                <w:szCs w:val="11"/>
                <w:color w:val="auto"/>
                <w:w w:val="92"/>
              </w:rPr>
              <w:t>$25.0M</w:t>
            </w:r>
          </w:p>
        </w:tc>
        <w:tc>
          <w:tcPr>
            <w:tcW w:w="3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center"/>
              <w:ind w:left="283"/>
              <w:spacing w:after="0"/>
              <w:rPr>
                <w:sz w:val="20"/>
                <w:szCs w:val="20"/>
                <w:color w:val="auto"/>
              </w:rPr>
            </w:pPr>
            <w:r>
              <w:rPr>
                <w:rFonts w:ascii="Arial" w:cs="Arial" w:eastAsia="Arial" w:hAnsi="Arial"/>
                <w:sz w:val="11"/>
                <w:szCs w:val="11"/>
                <w:color w:val="auto"/>
                <w:w w:val="97"/>
              </w:rPr>
              <w:t>$25.0M</w:t>
            </w: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0"/>
              </w:rPr>
              <w:t>—</w:t>
            </w:r>
          </w:p>
        </w:tc>
      </w:tr>
      <w:tr>
        <w:trPr>
          <w:trHeight w:val="159"/>
        </w:trPr>
        <w:tc>
          <w:tcPr>
            <w:tcW w:w="4060" w:type="dxa"/>
            <w:vAlign w:val="bottom"/>
          </w:tcPr>
          <w:p>
            <w:pPr>
              <w:spacing w:after="0" w:line="159" w:lineRule="exact"/>
              <w:rPr>
                <w:sz w:val="20"/>
                <w:szCs w:val="20"/>
                <w:color w:val="auto"/>
              </w:rPr>
            </w:pPr>
            <w:r>
              <w:rPr>
                <w:rFonts w:ascii="Arial" w:cs="Arial" w:eastAsia="Arial" w:hAnsi="Arial"/>
                <w:sz w:val="11"/>
                <w:szCs w:val="11"/>
                <w:color w:val="auto"/>
              </w:rPr>
              <w:t>Third commercial sales milestone</w:t>
            </w:r>
            <w:r>
              <w:rPr>
                <w:rFonts w:ascii="Arial" w:cs="Arial" w:eastAsia="Arial" w:hAnsi="Arial"/>
                <w:sz w:val="14"/>
                <w:szCs w:val="14"/>
                <w:color w:val="auto"/>
                <w:vertAlign w:val="superscript"/>
              </w:rPr>
              <w:t>(3)</w:t>
            </w:r>
          </w:p>
        </w:tc>
        <w:tc>
          <w:tcPr>
            <w:tcW w:w="860" w:type="dxa"/>
            <w:vAlign w:val="bottom"/>
          </w:tcPr>
          <w:p>
            <w:pPr>
              <w:jc w:val="center"/>
              <w:ind w:left="243"/>
              <w:spacing w:after="0"/>
              <w:rPr>
                <w:sz w:val="20"/>
                <w:szCs w:val="20"/>
                <w:color w:val="auto"/>
              </w:rPr>
            </w:pPr>
            <w:r>
              <w:rPr>
                <w:rFonts w:ascii="Arial" w:cs="Arial" w:eastAsia="Arial" w:hAnsi="Arial"/>
                <w:sz w:val="11"/>
                <w:szCs w:val="11"/>
                <w:color w:val="auto"/>
                <w:w w:val="97"/>
              </w:rPr>
              <w:t>$50.0M</w:t>
            </w:r>
          </w:p>
        </w:tc>
        <w:tc>
          <w:tcPr>
            <w:tcW w:w="1480" w:type="dxa"/>
            <w:vAlign w:val="bottom"/>
          </w:tcPr>
          <w:p>
            <w:pPr>
              <w:jc w:val="center"/>
              <w:ind w:left="243"/>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3"/>
                <w:szCs w:val="13"/>
                <w:color w:val="auto"/>
              </w:rPr>
            </w:pPr>
          </w:p>
        </w:tc>
        <w:tc>
          <w:tcPr>
            <w:tcW w:w="840" w:type="dxa"/>
            <w:vAlign w:val="bottom"/>
          </w:tcPr>
          <w:p>
            <w:pPr>
              <w:jc w:val="center"/>
              <w:ind w:left="283"/>
              <w:spacing w:after="0"/>
              <w:rPr>
                <w:sz w:val="20"/>
                <w:szCs w:val="20"/>
                <w:color w:val="auto"/>
              </w:rPr>
            </w:pPr>
            <w:r>
              <w:rPr>
                <w:rFonts w:ascii="Arial" w:cs="Arial" w:eastAsia="Arial" w:hAnsi="Arial"/>
                <w:sz w:val="11"/>
                <w:szCs w:val="11"/>
                <w:color w:val="auto"/>
                <w:w w:val="92"/>
              </w:rPr>
              <w:t>$50.0M</w:t>
            </w:r>
          </w:p>
        </w:tc>
        <w:tc>
          <w:tcPr>
            <w:tcW w:w="340" w:type="dxa"/>
            <w:vAlign w:val="bottom"/>
          </w:tcPr>
          <w:p>
            <w:pPr>
              <w:spacing w:after="0"/>
              <w:rPr>
                <w:sz w:val="13"/>
                <w:szCs w:val="13"/>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1"/>
                <w:szCs w:val="11"/>
                <w:color w:val="auto"/>
              </w:rPr>
              <w:t>—</w:t>
            </w:r>
          </w:p>
        </w:tc>
        <w:tc>
          <w:tcPr>
            <w:tcW w:w="820" w:type="dxa"/>
            <w:vAlign w:val="bottom"/>
          </w:tcPr>
          <w:p>
            <w:pPr>
              <w:jc w:val="center"/>
              <w:ind w:left="283"/>
              <w:spacing w:after="0"/>
              <w:rPr>
                <w:sz w:val="20"/>
                <w:szCs w:val="20"/>
                <w:color w:val="auto"/>
              </w:rPr>
            </w:pPr>
            <w:r>
              <w:rPr>
                <w:rFonts w:ascii="Arial" w:cs="Arial" w:eastAsia="Arial" w:hAnsi="Arial"/>
                <w:sz w:val="11"/>
                <w:szCs w:val="11"/>
                <w:color w:val="auto"/>
                <w:w w:val="97"/>
              </w:rPr>
              <w:t>$50.0M</w:t>
            </w:r>
          </w:p>
        </w:tc>
        <w:tc>
          <w:tcPr>
            <w:tcW w:w="34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1"/>
                <w:szCs w:val="11"/>
                <w:color w:val="auto"/>
                <w:w w:val="90"/>
              </w:rPr>
              <w:t>—</w:t>
            </w:r>
          </w:p>
        </w:tc>
      </w:tr>
      <w:tr>
        <w:trPr>
          <w:trHeight w:val="159"/>
        </w:trPr>
        <w:tc>
          <w:tcPr>
            <w:tcW w:w="4060" w:type="dxa"/>
            <w:vAlign w:val="bottom"/>
            <w:shd w:val="clear" w:color="auto" w:fill="CCEEFF"/>
          </w:tcPr>
          <w:p>
            <w:pPr>
              <w:spacing w:after="0"/>
              <w:rPr>
                <w:sz w:val="20"/>
                <w:szCs w:val="20"/>
                <w:color w:val="auto"/>
              </w:rPr>
            </w:pPr>
            <w:r>
              <w:rPr>
                <w:rFonts w:ascii="Arial" w:cs="Arial" w:eastAsia="Arial" w:hAnsi="Arial"/>
                <w:sz w:val="11"/>
                <w:szCs w:val="11"/>
                <w:color w:val="auto"/>
              </w:rPr>
              <w:t>Fourth commercial sales milestone</w:t>
            </w:r>
          </w:p>
        </w:tc>
        <w:tc>
          <w:tcPr>
            <w:tcW w:w="860" w:type="dxa"/>
            <w:vAlign w:val="bottom"/>
            <w:shd w:val="clear" w:color="auto" w:fill="CCEEFF"/>
          </w:tcPr>
          <w:p>
            <w:pPr>
              <w:jc w:val="center"/>
              <w:ind w:left="243"/>
              <w:spacing w:after="0"/>
              <w:rPr>
                <w:sz w:val="20"/>
                <w:szCs w:val="20"/>
                <w:color w:val="auto"/>
              </w:rPr>
            </w:pPr>
            <w:r>
              <w:rPr>
                <w:rFonts w:ascii="Arial" w:cs="Arial" w:eastAsia="Arial" w:hAnsi="Arial"/>
                <w:sz w:val="11"/>
                <w:szCs w:val="11"/>
                <w:color w:val="auto"/>
                <w:w w:val="97"/>
              </w:rPr>
              <w:t>$75.0M</w:t>
            </w:r>
          </w:p>
        </w:tc>
        <w:tc>
          <w:tcPr>
            <w:tcW w:w="1480" w:type="dxa"/>
            <w:vAlign w:val="bottom"/>
            <w:shd w:val="clear" w:color="auto" w:fill="CCEEFF"/>
          </w:tcPr>
          <w:p>
            <w:pPr>
              <w:jc w:val="center"/>
              <w:ind w:left="243"/>
              <w:spacing w:after="0"/>
              <w:rPr>
                <w:sz w:val="20"/>
                <w:szCs w:val="20"/>
                <w:color w:val="auto"/>
              </w:rPr>
            </w:pPr>
            <w:r>
              <w:rPr>
                <w:rFonts w:ascii="Arial" w:cs="Arial" w:eastAsia="Arial" w:hAnsi="Arial"/>
                <w:sz w:val="11"/>
                <w:szCs w:val="11"/>
                <w:color w:val="auto"/>
                <w:w w:val="90"/>
              </w:rPr>
              <w:t>—</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center"/>
              <w:ind w:left="283"/>
              <w:spacing w:after="0"/>
              <w:rPr>
                <w:sz w:val="20"/>
                <w:szCs w:val="20"/>
                <w:color w:val="auto"/>
              </w:rPr>
            </w:pPr>
            <w:r>
              <w:rPr>
                <w:rFonts w:ascii="Arial" w:cs="Arial" w:eastAsia="Arial" w:hAnsi="Arial"/>
                <w:sz w:val="11"/>
                <w:szCs w:val="11"/>
                <w:color w:val="auto"/>
                <w:w w:val="92"/>
              </w:rPr>
              <w:t>$75.0M</w:t>
            </w:r>
          </w:p>
        </w:tc>
        <w:tc>
          <w:tcPr>
            <w:tcW w:w="3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center"/>
              <w:ind w:left="283"/>
              <w:spacing w:after="0"/>
              <w:rPr>
                <w:sz w:val="20"/>
                <w:szCs w:val="20"/>
                <w:color w:val="auto"/>
              </w:rPr>
            </w:pPr>
            <w:r>
              <w:rPr>
                <w:rFonts w:ascii="Arial" w:cs="Arial" w:eastAsia="Arial" w:hAnsi="Arial"/>
                <w:sz w:val="11"/>
                <w:szCs w:val="11"/>
                <w:color w:val="auto"/>
                <w:w w:val="97"/>
              </w:rPr>
              <w:t>$75.0M</w:t>
            </w: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0"/>
              </w:rPr>
              <w:t>—</w:t>
            </w:r>
          </w:p>
        </w:tc>
      </w:tr>
      <w:tr>
        <w:trPr>
          <w:trHeight w:val="212"/>
        </w:trPr>
        <w:tc>
          <w:tcPr>
            <w:tcW w:w="4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59"/>
        </w:trPr>
        <w:tc>
          <w:tcPr>
            <w:tcW w:w="4060" w:type="dxa"/>
            <w:vAlign w:val="bottom"/>
            <w:shd w:val="clear" w:color="auto" w:fill="CCEEFF"/>
          </w:tcPr>
          <w:p>
            <w:pPr>
              <w:spacing w:after="0"/>
              <w:rPr>
                <w:sz w:val="20"/>
                <w:szCs w:val="20"/>
                <w:color w:val="auto"/>
              </w:rPr>
            </w:pPr>
            <w:r>
              <w:rPr>
                <w:rFonts w:ascii="Arial" w:cs="Arial" w:eastAsia="Arial" w:hAnsi="Arial"/>
                <w:sz w:val="11"/>
                <w:szCs w:val="11"/>
                <w:color w:val="auto"/>
              </w:rPr>
              <w:t>Milestones recognized through September 30, 2022</w:t>
            </w:r>
          </w:p>
        </w:tc>
        <w:tc>
          <w:tcPr>
            <w:tcW w:w="860" w:type="dxa"/>
            <w:vAlign w:val="bottom"/>
            <w:shd w:val="clear" w:color="auto" w:fill="CCEEFF"/>
          </w:tcPr>
          <w:p>
            <w:pPr>
              <w:jc w:val="center"/>
              <w:ind w:left="243"/>
              <w:spacing w:after="0"/>
              <w:rPr>
                <w:sz w:val="20"/>
                <w:szCs w:val="20"/>
                <w:color w:val="auto"/>
              </w:rPr>
            </w:pPr>
            <w:r>
              <w:rPr>
                <w:rFonts w:ascii="Arial" w:cs="Arial" w:eastAsia="Arial" w:hAnsi="Arial"/>
                <w:sz w:val="11"/>
                <w:szCs w:val="11"/>
                <w:color w:val="auto"/>
                <w:w w:val="97"/>
              </w:rPr>
              <w:t>$93.0M</w:t>
            </w:r>
          </w:p>
        </w:tc>
        <w:tc>
          <w:tcPr>
            <w:tcW w:w="1480" w:type="dxa"/>
            <w:vAlign w:val="bottom"/>
            <w:shd w:val="clear" w:color="auto" w:fill="CCEEFF"/>
          </w:tcPr>
          <w:p>
            <w:pPr>
              <w:jc w:val="center"/>
              <w:ind w:left="243"/>
              <w:spacing w:after="0"/>
              <w:rPr>
                <w:sz w:val="20"/>
                <w:szCs w:val="20"/>
                <w:color w:val="auto"/>
              </w:rPr>
            </w:pPr>
            <w:r>
              <w:rPr>
                <w:rFonts w:ascii="Arial" w:cs="Arial" w:eastAsia="Arial" w:hAnsi="Arial"/>
                <w:sz w:val="11"/>
                <w:szCs w:val="11"/>
                <w:color w:val="auto"/>
                <w:w w:val="90"/>
              </w:rPr>
              <w:t>—</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center"/>
              <w:ind w:left="283"/>
              <w:spacing w:after="0"/>
              <w:rPr>
                <w:sz w:val="20"/>
                <w:szCs w:val="20"/>
                <w:color w:val="auto"/>
              </w:rPr>
            </w:pPr>
            <w:r>
              <w:rPr>
                <w:rFonts w:ascii="Arial" w:cs="Arial" w:eastAsia="Arial" w:hAnsi="Arial"/>
                <w:sz w:val="11"/>
                <w:szCs w:val="11"/>
                <w:color w:val="auto"/>
                <w:w w:val="97"/>
              </w:rPr>
              <w:t>$8.0M</w:t>
            </w:r>
          </w:p>
        </w:tc>
        <w:tc>
          <w:tcPr>
            <w:tcW w:w="3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jc w:val="center"/>
              <w:ind w:left="303"/>
              <w:spacing w:after="0"/>
              <w:rPr>
                <w:sz w:val="20"/>
                <w:szCs w:val="20"/>
                <w:color w:val="auto"/>
              </w:rPr>
            </w:pPr>
            <w:r>
              <w:rPr>
                <w:rFonts w:ascii="Arial" w:cs="Arial" w:eastAsia="Arial" w:hAnsi="Arial"/>
                <w:sz w:val="11"/>
                <w:szCs w:val="11"/>
                <w:color w:val="auto"/>
                <w:w w:val="97"/>
              </w:rPr>
              <w:t>$8.0M</w:t>
            </w:r>
          </w:p>
        </w:tc>
        <w:tc>
          <w:tcPr>
            <w:tcW w:w="340" w:type="dxa"/>
            <w:vAlign w:val="bottom"/>
            <w:shd w:val="clear" w:color="auto" w:fill="CCEEFF"/>
          </w:tcPr>
          <w:p>
            <w:pPr>
              <w:spacing w:after="0"/>
              <w:rPr>
                <w:sz w:val="13"/>
                <w:szCs w:val="13"/>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0"/>
              </w:rPr>
              <w:t>—</w:t>
            </w:r>
          </w:p>
        </w:tc>
      </w:tr>
      <w:tr>
        <w:trPr>
          <w:trHeight w:val="145"/>
        </w:trPr>
        <w:tc>
          <w:tcPr>
            <w:tcW w:w="4060" w:type="dxa"/>
            <w:vAlign w:val="bottom"/>
          </w:tcPr>
          <w:p>
            <w:pPr>
              <w:spacing w:after="0"/>
              <w:rPr>
                <w:sz w:val="20"/>
                <w:szCs w:val="20"/>
                <w:color w:val="auto"/>
              </w:rPr>
            </w:pPr>
            <w:r>
              <w:rPr>
                <w:rFonts w:ascii="Arial" w:cs="Arial" w:eastAsia="Arial" w:hAnsi="Arial"/>
                <w:sz w:val="11"/>
                <w:szCs w:val="11"/>
                <w:color w:val="auto"/>
              </w:rPr>
              <w:t>Milestones that may be recognized in the future</w:t>
            </w:r>
          </w:p>
        </w:tc>
        <w:tc>
          <w:tcPr>
            <w:tcW w:w="860" w:type="dxa"/>
            <w:vAlign w:val="bottom"/>
          </w:tcPr>
          <w:p>
            <w:pPr>
              <w:jc w:val="center"/>
              <w:ind w:left="243"/>
              <w:spacing w:after="0"/>
              <w:rPr>
                <w:sz w:val="20"/>
                <w:szCs w:val="20"/>
                <w:color w:val="auto"/>
              </w:rPr>
            </w:pPr>
            <w:r>
              <w:rPr>
                <w:rFonts w:ascii="Arial" w:cs="Arial" w:eastAsia="Arial" w:hAnsi="Arial"/>
                <w:sz w:val="11"/>
                <w:szCs w:val="11"/>
                <w:color w:val="auto"/>
                <w:w w:val="93"/>
              </w:rPr>
              <w:t>$180.0M</w:t>
            </w:r>
          </w:p>
        </w:tc>
        <w:tc>
          <w:tcPr>
            <w:tcW w:w="1480" w:type="dxa"/>
            <w:vAlign w:val="bottom"/>
          </w:tcPr>
          <w:p>
            <w:pPr>
              <w:jc w:val="center"/>
              <w:ind w:left="243"/>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2"/>
                <w:szCs w:val="12"/>
                <w:color w:val="auto"/>
              </w:rPr>
            </w:pPr>
          </w:p>
        </w:tc>
        <w:tc>
          <w:tcPr>
            <w:tcW w:w="840" w:type="dxa"/>
            <w:vAlign w:val="bottom"/>
          </w:tcPr>
          <w:p>
            <w:pPr>
              <w:jc w:val="center"/>
              <w:ind w:left="283"/>
              <w:spacing w:after="0"/>
              <w:rPr>
                <w:sz w:val="20"/>
                <w:szCs w:val="20"/>
                <w:color w:val="auto"/>
              </w:rPr>
            </w:pPr>
            <w:r>
              <w:rPr>
                <w:rFonts w:ascii="Arial" w:cs="Arial" w:eastAsia="Arial" w:hAnsi="Arial"/>
                <w:sz w:val="11"/>
                <w:szCs w:val="11"/>
                <w:color w:val="auto"/>
                <w:w w:val="98"/>
              </w:rPr>
              <w:t>$265.0M</w:t>
            </w:r>
          </w:p>
        </w:tc>
        <w:tc>
          <w:tcPr>
            <w:tcW w:w="340" w:type="dxa"/>
            <w:vAlign w:val="bottom"/>
          </w:tcPr>
          <w:p>
            <w:pPr>
              <w:spacing w:after="0"/>
              <w:rPr>
                <w:sz w:val="12"/>
                <w:szCs w:val="12"/>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1"/>
                <w:szCs w:val="11"/>
                <w:color w:val="auto"/>
              </w:rPr>
              <w:t>—</w:t>
            </w:r>
          </w:p>
        </w:tc>
        <w:tc>
          <w:tcPr>
            <w:tcW w:w="820" w:type="dxa"/>
            <w:vAlign w:val="bottom"/>
          </w:tcPr>
          <w:p>
            <w:pPr>
              <w:jc w:val="center"/>
              <w:ind w:left="283"/>
              <w:spacing w:after="0"/>
              <w:rPr>
                <w:sz w:val="20"/>
                <w:szCs w:val="20"/>
                <w:color w:val="auto"/>
              </w:rPr>
            </w:pPr>
            <w:r>
              <w:rPr>
                <w:rFonts w:ascii="Arial" w:cs="Arial" w:eastAsia="Arial" w:hAnsi="Arial"/>
                <w:sz w:val="11"/>
                <w:szCs w:val="11"/>
                <w:color w:val="auto"/>
                <w:w w:val="93"/>
              </w:rPr>
              <w:t>$265.0M</w:t>
            </w:r>
          </w:p>
        </w:tc>
        <w:tc>
          <w:tcPr>
            <w:tcW w:w="34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Arial" w:cs="Arial" w:eastAsia="Arial" w:hAnsi="Arial"/>
                <w:sz w:val="11"/>
                <w:szCs w:val="11"/>
                <w:color w:val="auto"/>
                <w:w w:val="90"/>
              </w:rPr>
              <w:t>—</w:t>
            </w:r>
          </w:p>
        </w:tc>
      </w:tr>
    </w:tbl>
    <w:p>
      <w:pPr>
        <w:spacing w:after="0" w:line="104" w:lineRule="exact"/>
        <w:rPr>
          <w:sz w:val="20"/>
          <w:szCs w:val="20"/>
          <w:color w:val="auto"/>
        </w:rPr>
      </w:pPr>
    </w:p>
    <w:p>
      <w:pPr>
        <w:ind w:left="340" w:hanging="303"/>
        <w:spacing w:after="0"/>
        <w:tabs>
          <w:tab w:leader="none" w:pos="34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Biologics License Application (“BLA”)</w:t>
      </w:r>
    </w:p>
    <w:p>
      <w:pPr>
        <w:spacing w:after="0" w:line="12" w:lineRule="exact"/>
        <w:rPr>
          <w:rFonts w:ascii="Arial" w:cs="Arial" w:eastAsia="Arial" w:hAnsi="Arial"/>
          <w:sz w:val="18"/>
          <w:szCs w:val="18"/>
          <w:color w:val="auto"/>
          <w:vertAlign w:val="superscript"/>
        </w:rPr>
      </w:pPr>
    </w:p>
    <w:p>
      <w:pPr>
        <w:ind w:left="340" w:hanging="303"/>
        <w:spacing w:after="0" w:line="194" w:lineRule="auto"/>
        <w:tabs>
          <w:tab w:leader="none" w:pos="34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Marketing Authorization Application (“MAA”)</w:t>
      </w:r>
    </w:p>
    <w:p>
      <w:pPr>
        <w:spacing w:after="0" w:line="13" w:lineRule="exact"/>
        <w:rPr>
          <w:rFonts w:ascii="Arial" w:cs="Arial" w:eastAsia="Arial" w:hAnsi="Arial"/>
          <w:sz w:val="18"/>
          <w:szCs w:val="18"/>
          <w:color w:val="auto"/>
          <w:vertAlign w:val="superscript"/>
        </w:rPr>
      </w:pPr>
    </w:p>
    <w:p>
      <w:pPr>
        <w:ind w:left="360" w:right="280" w:hanging="323"/>
        <w:spacing w:after="0" w:line="220" w:lineRule="auto"/>
        <w:tabs>
          <w:tab w:leader="none" w:pos="35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For JEMPERLI, the filing and approval of the first MAA for a second indication and first three commercial sales milestones are included as part of the royalty monetization agreement with Sagard, see Note 5</w:t>
      </w:r>
    </w:p>
    <w:p>
      <w:pPr>
        <w:spacing w:after="0" w:line="75" w:lineRule="exact"/>
        <w:rPr>
          <w:sz w:val="20"/>
          <w:szCs w:val="20"/>
          <w:color w:val="auto"/>
        </w:rPr>
      </w:pPr>
    </w:p>
    <w:p>
      <w:pPr>
        <w:ind w:right="60" w:firstLine="382"/>
        <w:spacing w:after="0" w:line="267" w:lineRule="auto"/>
        <w:rPr>
          <w:sz w:val="20"/>
          <w:szCs w:val="20"/>
          <w:color w:val="auto"/>
        </w:rPr>
      </w:pPr>
      <w:r>
        <w:rPr>
          <w:rFonts w:ascii="Arial" w:cs="Arial" w:eastAsia="Arial" w:hAnsi="Arial"/>
          <w:sz w:val="14"/>
          <w:szCs w:val="14"/>
          <w:color w:val="auto"/>
        </w:rPr>
        <w:t>Milestones achieved during the discovery period were recognized as revenue pro-rata through December 31, 2016. Milestones achieved during fiscal 2017 were recognized as revenue in the period earned, while milestones after December 31, 2017 are recognized upon determination that a significant reversal of revenue would not be probable. Cash is generally received within 30 days of milestone achievement.</w:t>
      </w:r>
    </w:p>
    <w:p>
      <w:pPr>
        <w:spacing w:after="0" w:line="57" w:lineRule="exact"/>
        <w:rPr>
          <w:sz w:val="20"/>
          <w:szCs w:val="20"/>
          <w:color w:val="auto"/>
        </w:rPr>
      </w:pPr>
    </w:p>
    <w:p>
      <w:pPr>
        <w:ind w:right="340" w:firstLine="382"/>
        <w:spacing w:after="0" w:line="281" w:lineRule="auto"/>
        <w:rPr>
          <w:sz w:val="20"/>
          <w:szCs w:val="20"/>
          <w:color w:val="auto"/>
        </w:rPr>
      </w:pPr>
      <w:r>
        <w:rPr>
          <w:rFonts w:ascii="Arial" w:cs="Arial" w:eastAsia="Arial" w:hAnsi="Arial"/>
          <w:sz w:val="14"/>
          <w:szCs w:val="14"/>
          <w:color w:val="auto"/>
        </w:rPr>
        <w:t>We recognized $1.3 million and $3.5 million in revenue under the GSK Agreement during the three and nine months ended September 30, 2022, respectively, and $20.9 million and $62.2 million during the three and nine months ended September 30, 2021, respectively.</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4"/>
          <w:szCs w:val="14"/>
          <w:b w:val="1"/>
          <w:bCs w:val="1"/>
          <w:i w:val="1"/>
          <w:iCs w:val="1"/>
          <w:color w:val="auto"/>
        </w:rPr>
        <w:t>Antibody Generation Agreement with Bristol-Myers Squibb</w:t>
      </w:r>
    </w:p>
    <w:p>
      <w:pPr>
        <w:spacing w:after="0" w:line="94" w:lineRule="exact"/>
        <w:rPr>
          <w:sz w:val="20"/>
          <w:szCs w:val="20"/>
          <w:color w:val="auto"/>
        </w:rPr>
      </w:pPr>
    </w:p>
    <w:p>
      <w:pPr>
        <w:ind w:right="80" w:firstLine="382"/>
        <w:spacing w:after="0" w:line="262" w:lineRule="auto"/>
        <w:rPr>
          <w:sz w:val="20"/>
          <w:szCs w:val="20"/>
          <w:color w:val="auto"/>
        </w:rPr>
      </w:pPr>
      <w:r>
        <w:rPr>
          <w:rFonts w:ascii="Arial" w:cs="Arial" w:eastAsia="Arial" w:hAnsi="Arial"/>
          <w:sz w:val="14"/>
          <w:szCs w:val="14"/>
          <w:color w:val="auto"/>
        </w:rPr>
        <w:t>In December 2011, we entered into a license and collaboration agreement (the “BMS Agreement”) with Celgene, now a part of Bristol-Myers Squibb (Celgene and Bristol-Myers Squibb are hereinafter referred to, collectively, as “BMS”), to develop therapeutic antibodies against multiple targets. We granted BMS the option to obtain worldwide commercial rights to antibodies generated against each of the targets under the agreement, which option was triggered on a target-by-target basis by our delivery of antibodies meeting certain pre-specified parameters pertaining to each target under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13" w:name="page14"/>
    <w:bookmarkEnd w:id="13"/>
    <w:p>
      <w:pPr>
        <w:ind w:right="300" w:firstLine="382"/>
        <w:spacing w:after="0" w:line="281" w:lineRule="auto"/>
        <w:rPr>
          <w:sz w:val="20"/>
          <w:szCs w:val="20"/>
          <w:color w:val="auto"/>
        </w:rPr>
      </w:pPr>
      <w:r>
        <w:rPr>
          <w:rFonts w:ascii="Arial" w:cs="Arial" w:eastAsia="Arial" w:hAnsi="Arial"/>
          <w:sz w:val="14"/>
          <w:szCs w:val="14"/>
          <w:color w:val="auto"/>
        </w:rPr>
        <w:t>The BMS Agreement provided for an upfront payment of $6.0 million from BMS, which we received in 2011 and recognized through 2014, milestone payments of up to $53.0 million per target, low single-digit royalties on net sales of antibodies against each target, and reimbursement of specified research and development costs.</w:t>
      </w:r>
    </w:p>
    <w:p>
      <w:pPr>
        <w:spacing w:after="0" w:line="4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There was no revenue recognized under this agreement during the three and nine months ended September 30, 2022 and 2021. Revenue was last recognized under this agreement in 2016.</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Sale of Future Royalties</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JEMPERLI Royalty Monetization Agreement</w:t>
      </w:r>
    </w:p>
    <w:p>
      <w:pPr>
        <w:spacing w:after="0" w:line="94" w:lineRule="exact"/>
        <w:rPr>
          <w:sz w:val="20"/>
          <w:szCs w:val="20"/>
          <w:color w:val="auto"/>
        </w:rPr>
      </w:pPr>
    </w:p>
    <w:p>
      <w:pPr>
        <w:ind w:firstLine="350"/>
        <w:spacing w:after="0" w:line="276" w:lineRule="auto"/>
        <w:rPr>
          <w:sz w:val="20"/>
          <w:szCs w:val="20"/>
          <w:color w:val="auto"/>
        </w:rPr>
      </w:pPr>
      <w:r>
        <w:rPr>
          <w:rFonts w:ascii="Arial" w:cs="Arial" w:eastAsia="Arial" w:hAnsi="Arial"/>
          <w:sz w:val="13"/>
          <w:szCs w:val="13"/>
          <w:color w:val="auto"/>
        </w:rPr>
        <w:t>In October 2021, we signed a royalty monetization agreement (“JEMPERLI Royalty Monetization Agreement”) with Sagard Healthcare Royalty Partners, LP (“Sagard”). Under the terms of the JEMPERLI Royalty Monetization Agreement, we received $250.0 million in exchange for royalties and milestones payable to us under our GSK collaboration on annual global net sales of JEMPERLI below $1.0 billion starting in October 2021. The aggregate JEMPERLI royalties and milestones to be received by Sagard under the JEMPERLI Royalty Monetization Agreement is capped at certain fixed multiples of the upfront payment based on time. Once Sagard receives an aggregate amount of either $312.5 million (125% of the upfront) by the end of 2026, or</w:t>
      </w:r>
    </w:p>
    <w:p>
      <w:pPr>
        <w:spacing w:after="0" w:line="2" w:lineRule="exact"/>
        <w:rPr>
          <w:sz w:val="20"/>
          <w:szCs w:val="20"/>
          <w:color w:val="auto"/>
        </w:rPr>
      </w:pPr>
    </w:p>
    <w:p>
      <w:pPr>
        <w:ind w:right="480"/>
        <w:spacing w:after="0" w:line="305" w:lineRule="auto"/>
        <w:rPr>
          <w:sz w:val="20"/>
          <w:szCs w:val="20"/>
          <w:color w:val="auto"/>
        </w:rPr>
      </w:pPr>
      <w:r>
        <w:rPr>
          <w:rFonts w:ascii="Arial" w:cs="Arial" w:eastAsia="Arial" w:hAnsi="Arial"/>
          <w:sz w:val="13"/>
          <w:szCs w:val="13"/>
          <w:color w:val="auto"/>
        </w:rPr>
        <w:t>$337.5 million (135% of the upfront) during 2027, or $412.5 million (165% of the upfront) at any time after 2027, the JEMPERLI Royalty Monetization Agreement will expire resulting in us regaining all subsequent JEMPERLI royalties and milestones. As of September 30, 2022, Sagard has received a total of $1.1 million in royalties and milestones.</w:t>
      </w:r>
    </w:p>
    <w:p>
      <w:pPr>
        <w:spacing w:after="0" w:line="34" w:lineRule="exact"/>
        <w:rPr>
          <w:sz w:val="20"/>
          <w:szCs w:val="20"/>
          <w:color w:val="auto"/>
        </w:rPr>
      </w:pPr>
    </w:p>
    <w:p>
      <w:pPr>
        <w:ind w:right="20" w:firstLine="350"/>
        <w:spacing w:after="0" w:line="257" w:lineRule="auto"/>
        <w:rPr>
          <w:sz w:val="20"/>
          <w:szCs w:val="20"/>
          <w:color w:val="auto"/>
        </w:rPr>
      </w:pPr>
      <w:r>
        <w:rPr>
          <w:rFonts w:ascii="Arial" w:cs="Arial" w:eastAsia="Arial" w:hAnsi="Arial"/>
          <w:sz w:val="14"/>
          <w:szCs w:val="14"/>
          <w:color w:val="auto"/>
        </w:rPr>
        <w:t>The JEMPERLI Royalty Monetization Agreement includes a call option pursuant to which at any time after December 1, 2024, we may reacquire our interest in the specified royalties by paying Sagard (in cash) a specified amount described as (a) in the case of a Reacquisition Date that falls within the period from (but excluding) December 1, 2024 to (and including) December 31, 2026, the greater of (i) $312.5 million minus the total Net Amount actually received by Purchaser prior to such Reacquisition Date, and (ii) an amount that, when paid to Sagard on such Reacquisition Date, will generate an internal rate of return (“IRR”) for Sagard of 9.0% over the Relevant Period; (b) in the case of a Reacquisition Date that falls within the period from (and including) January 1, 2027 to (and including) December 31, 2027, the greater of (i) $337.5 million minus the total Net Amount actually received by Purchaser prior to such Reacquisition Date and (ii) an amount that, when paid to Sagard on such Reacquisition Date, will generate an IRR for Sagard of 10% over the Relevant Period; and (c) in the case of a Reacquisition Date that occurs on or after January 1, 2028, the greater of (i) $412.5 million minus the total Net Amount actually received by Purchaser prior to such Reacquisition Date and (ii) an amount that, when paid to Sagard on such Reacquisition Date, will generate an IRR for Sagard of 10% over the Relevant Period.</w:t>
      </w:r>
    </w:p>
    <w:p>
      <w:pPr>
        <w:spacing w:after="0" w:line="64" w:lineRule="exact"/>
        <w:rPr>
          <w:sz w:val="20"/>
          <w:szCs w:val="20"/>
          <w:color w:val="auto"/>
        </w:rPr>
      </w:pPr>
    </w:p>
    <w:p>
      <w:pPr>
        <w:ind w:right="160" w:firstLine="350"/>
        <w:spacing w:after="0" w:line="297" w:lineRule="auto"/>
        <w:rPr>
          <w:sz w:val="20"/>
          <w:szCs w:val="20"/>
          <w:color w:val="auto"/>
        </w:rPr>
      </w:pPr>
      <w:r>
        <w:rPr>
          <w:rFonts w:ascii="Arial" w:cs="Arial" w:eastAsia="Arial" w:hAnsi="Arial"/>
          <w:sz w:val="13"/>
          <w:szCs w:val="13"/>
          <w:color w:val="auto"/>
        </w:rPr>
        <w:t>The proceeds received from Sagard of $250.0 million were recorded as a liability, net of transaction costs of $0.4 million, which will be amortized over the estimated life of the arrangement using the effective interest rate method. Royalty and milestone revenue will be recognized as earned on net sales of JEMPERLI, and we will record the royalty payments to Sagard as a reduction of the liability when paid. As such payments are made to Sagard, the balance of the liability will be effectively repaid over the life of the JEMPERLI Royalty Monetization Agreement.</w:t>
      </w:r>
    </w:p>
    <w:p>
      <w:pPr>
        <w:spacing w:after="0" w:line="39" w:lineRule="exact"/>
        <w:rPr>
          <w:sz w:val="20"/>
          <w:szCs w:val="20"/>
          <w:color w:val="auto"/>
        </w:rPr>
      </w:pPr>
    </w:p>
    <w:p>
      <w:pPr>
        <w:ind w:right="80" w:firstLine="350"/>
        <w:spacing w:after="0" w:line="319" w:lineRule="auto"/>
        <w:rPr>
          <w:sz w:val="20"/>
          <w:szCs w:val="20"/>
          <w:color w:val="auto"/>
        </w:rPr>
      </w:pPr>
      <w:r>
        <w:rPr>
          <w:rFonts w:ascii="Arial" w:cs="Arial" w:eastAsia="Arial" w:hAnsi="Arial"/>
          <w:sz w:val="12"/>
          <w:szCs w:val="12"/>
          <w:color w:val="auto"/>
        </w:rPr>
        <w:t>We estimate the effective interest rate used to record non-cash interest expense under the JEMPERLI Royalty Monetization Agreement based on the estimate of future royalty payments to be received by Sagard. As of September 30, 2022, the estimated effective rate under the agreement was 9.1%. Over the life of the arrangement, the actual effective interest rate will be affected by the amount and the timing of the royalty payments received by Sagard and changes in our forecasted royalties. At each reporting date, we will reassess our estimate of total future royalty payments to be received and if such payments are materially different than our original estimates, we will prospectively adjust the imputed interest rate and the related amortization of the royalty obligation.</w:t>
      </w:r>
    </w:p>
    <w:p>
      <w:pPr>
        <w:spacing w:after="0" w:line="30" w:lineRule="exact"/>
        <w:rPr>
          <w:sz w:val="20"/>
          <w:szCs w:val="20"/>
          <w:color w:val="auto"/>
        </w:rPr>
      </w:pPr>
    </w:p>
    <w:p>
      <w:pPr>
        <w:ind w:right="80" w:firstLine="350"/>
        <w:spacing w:after="0" w:line="267" w:lineRule="auto"/>
        <w:rPr>
          <w:sz w:val="20"/>
          <w:szCs w:val="20"/>
          <w:color w:val="auto"/>
        </w:rPr>
      </w:pPr>
      <w:r>
        <w:rPr>
          <w:rFonts w:ascii="Arial" w:cs="Arial" w:eastAsia="Arial" w:hAnsi="Arial"/>
          <w:sz w:val="14"/>
          <w:szCs w:val="14"/>
          <w:color w:val="auto"/>
        </w:rPr>
        <w:t>We recognized JEMPERLI non-cash royalty revenue of approximately $0.3 million and $1.2 million for the three and nine months ended September 30, 2022, respectively, and non-cash interest expense of approximately $5.9 million and $16.7 million for the three and nine months ended September 30, 2022, respectively. The interest and amortization of issuance costs is reflected as non-cash interest expense for the sale of future royalties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14" w:name="page15"/>
    <w:bookmarkEnd w:id="14"/>
    <w:p>
      <w:pPr>
        <w:ind w:left="360"/>
        <w:spacing w:after="0"/>
        <w:rPr>
          <w:sz w:val="20"/>
          <w:szCs w:val="20"/>
          <w:color w:val="auto"/>
        </w:rPr>
      </w:pPr>
      <w:r>
        <w:rPr>
          <w:rFonts w:ascii="Arial" w:cs="Arial" w:eastAsia="Arial" w:hAnsi="Arial"/>
          <w:sz w:val="14"/>
          <w:szCs w:val="14"/>
          <w:color w:val="auto"/>
        </w:rPr>
        <w:t>The following table shows the activity within the liability account for the nine months ended September 30, 2022:</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8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42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jc w:val="right"/>
              <w:ind w:right="671"/>
              <w:spacing w:after="0"/>
              <w:rPr>
                <w:sz w:val="20"/>
                <w:szCs w:val="20"/>
                <w:color w:val="auto"/>
              </w:rPr>
            </w:pPr>
            <w:r>
              <w:rPr>
                <w:rFonts w:ascii="Arial" w:cs="Arial" w:eastAsia="Arial" w:hAnsi="Arial"/>
                <w:sz w:val="11"/>
                <w:szCs w:val="11"/>
                <w:b w:val="1"/>
                <w:bCs w:val="1"/>
                <w:color w:val="auto"/>
              </w:rPr>
              <w:t>September 30, 2022</w:t>
            </w:r>
          </w:p>
        </w:tc>
      </w:tr>
      <w:tr>
        <w:trPr>
          <w:trHeight w:val="180"/>
        </w:trPr>
        <w:tc>
          <w:tcPr>
            <w:tcW w:w="8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Liability related to sale of future JEMPERLI royalties and milestones - balance at 12/31/2021</w:t>
            </w: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251,093</w:t>
            </w:r>
          </w:p>
        </w:tc>
      </w:tr>
      <w:tr>
        <w:trPr>
          <w:trHeight w:val="180"/>
        </w:trPr>
        <w:tc>
          <w:tcPr>
            <w:tcW w:w="8860" w:type="dxa"/>
            <w:vAlign w:val="bottom"/>
          </w:tcPr>
          <w:p>
            <w:pPr>
              <w:ind w:left="100"/>
              <w:spacing w:after="0"/>
              <w:rPr>
                <w:sz w:val="20"/>
                <w:szCs w:val="20"/>
                <w:color w:val="auto"/>
              </w:rPr>
            </w:pPr>
            <w:r>
              <w:rPr>
                <w:rFonts w:ascii="Arial" w:cs="Arial" w:eastAsia="Arial" w:hAnsi="Arial"/>
                <w:sz w:val="14"/>
                <w:szCs w:val="14"/>
                <w:color w:val="auto"/>
              </w:rPr>
              <w:t>Issuance costs related to the sale of future royalties</w:t>
            </w:r>
          </w:p>
        </w:tc>
        <w:tc>
          <w:tcPr>
            <w:tcW w:w="420" w:type="dxa"/>
            <w:vAlign w:val="bottom"/>
          </w:tcPr>
          <w:p>
            <w:pPr>
              <w:spacing w:after="0"/>
              <w:rPr>
                <w:sz w:val="15"/>
                <w:szCs w:val="15"/>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(130)</w:t>
            </w:r>
          </w:p>
        </w:tc>
      </w:tr>
      <w:tr>
        <w:trPr>
          <w:trHeight w:val="181"/>
        </w:trPr>
        <w:tc>
          <w:tcPr>
            <w:tcW w:w="8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Amortization of issuance costs</w:t>
            </w: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r>
      <w:tr>
        <w:trPr>
          <w:trHeight w:val="180"/>
        </w:trPr>
        <w:tc>
          <w:tcPr>
            <w:tcW w:w="8860" w:type="dxa"/>
            <w:vAlign w:val="bottom"/>
          </w:tcPr>
          <w:p>
            <w:pPr>
              <w:ind w:left="100"/>
              <w:spacing w:after="0"/>
              <w:rPr>
                <w:sz w:val="20"/>
                <w:szCs w:val="20"/>
                <w:color w:val="auto"/>
              </w:rPr>
            </w:pPr>
            <w:r>
              <w:rPr>
                <w:rFonts w:ascii="Arial" w:cs="Arial" w:eastAsia="Arial" w:hAnsi="Arial"/>
                <w:sz w:val="14"/>
                <w:szCs w:val="14"/>
                <w:color w:val="auto"/>
              </w:rPr>
              <w:t>Royalty and milestone payments to Sagard</w:t>
            </w:r>
          </w:p>
        </w:tc>
        <w:tc>
          <w:tcPr>
            <w:tcW w:w="420" w:type="dxa"/>
            <w:vAlign w:val="bottom"/>
          </w:tcPr>
          <w:p>
            <w:pPr>
              <w:spacing w:after="0"/>
              <w:rPr>
                <w:sz w:val="15"/>
                <w:szCs w:val="15"/>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(1,050)</w:t>
            </w:r>
          </w:p>
        </w:tc>
      </w:tr>
      <w:tr>
        <w:trPr>
          <w:trHeight w:val="180"/>
        </w:trPr>
        <w:tc>
          <w:tcPr>
            <w:tcW w:w="8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Non-cash interest expense recognized</w:t>
            </w:r>
          </w:p>
        </w:tc>
        <w:tc>
          <w:tcPr>
            <w:tcW w:w="420" w:type="dxa"/>
            <w:vAlign w:val="bottom"/>
            <w:tcBorders>
              <w:bottom w:val="single" w:sz="8" w:color="auto"/>
            </w:tcBorders>
            <w:shd w:val="clear" w:color="auto" w:fill="CCEEFF"/>
          </w:tcPr>
          <w:p>
            <w:pPr>
              <w:spacing w:after="0"/>
              <w:rPr>
                <w:sz w:val="15"/>
                <w:szCs w:val="15"/>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16,658</w:t>
            </w:r>
          </w:p>
        </w:tc>
      </w:tr>
      <w:tr>
        <w:trPr>
          <w:trHeight w:val="171"/>
        </w:trPr>
        <w:tc>
          <w:tcPr>
            <w:tcW w:w="8860" w:type="dxa"/>
            <w:vAlign w:val="bottom"/>
          </w:tcPr>
          <w:p>
            <w:pPr>
              <w:ind w:left="20"/>
              <w:spacing w:after="0"/>
              <w:rPr>
                <w:sz w:val="20"/>
                <w:szCs w:val="20"/>
                <w:color w:val="auto"/>
              </w:rPr>
            </w:pPr>
            <w:r>
              <w:rPr>
                <w:rFonts w:ascii="Arial" w:cs="Arial" w:eastAsia="Arial" w:hAnsi="Arial"/>
                <w:sz w:val="14"/>
                <w:szCs w:val="14"/>
                <w:color w:val="auto"/>
              </w:rPr>
              <w:t>Liability related to sale of future royalties and milestones - ending balance</w:t>
            </w:r>
          </w:p>
        </w:tc>
        <w:tc>
          <w:tcPr>
            <w:tcW w:w="4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w w:val="76"/>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266,616</w:t>
            </w:r>
          </w:p>
        </w:tc>
      </w:tr>
      <w:tr>
        <w:trPr>
          <w:trHeight w:val="20"/>
        </w:trPr>
        <w:tc>
          <w:tcPr>
            <w:tcW w:w="8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Zejula Royalty Monetization Agreement</w:t>
      </w:r>
    </w:p>
    <w:p>
      <w:pPr>
        <w:spacing w:after="0" w:line="94" w:lineRule="exact"/>
        <w:rPr>
          <w:sz w:val="20"/>
          <w:szCs w:val="20"/>
          <w:color w:val="auto"/>
        </w:rPr>
      </w:pPr>
    </w:p>
    <w:p>
      <w:pPr>
        <w:ind w:firstLine="318"/>
        <w:spacing w:after="0" w:line="267" w:lineRule="auto"/>
        <w:rPr>
          <w:sz w:val="20"/>
          <w:szCs w:val="20"/>
          <w:color w:val="auto"/>
        </w:rPr>
      </w:pPr>
      <w:r>
        <w:rPr>
          <w:rFonts w:ascii="Arial" w:cs="Arial" w:eastAsia="Arial" w:hAnsi="Arial"/>
          <w:sz w:val="14"/>
          <w:szCs w:val="14"/>
          <w:color w:val="auto"/>
        </w:rPr>
        <w:t>In October 2020, in connection with Amendment No. 3 to the GSK Agreement, GSK agreed, under the terms of a settlement agreement (the “GSK Settlement Agreement”), to pay us a royalty on all GSK net sales of Zejula starting January 1, 2021. Under the GSK Settlement Agreement, the royalty is paid at a rate of 1.0% but is subject to reduction due to royalties paid to third parties, with a minimum royalty payable under the GSK Settlement Agreement of 0.5% of global net sales of Zejula. The current effective royalty rate is 0.5%.</w:t>
      </w:r>
    </w:p>
    <w:p>
      <w:pPr>
        <w:spacing w:after="0" w:line="57" w:lineRule="exact"/>
        <w:rPr>
          <w:sz w:val="20"/>
          <w:szCs w:val="20"/>
          <w:color w:val="auto"/>
        </w:rPr>
      </w:pPr>
    </w:p>
    <w:p>
      <w:pPr>
        <w:ind w:right="60" w:firstLine="350"/>
        <w:spacing w:after="0" w:line="260" w:lineRule="auto"/>
        <w:rPr>
          <w:sz w:val="20"/>
          <w:szCs w:val="20"/>
          <w:color w:val="auto"/>
        </w:rPr>
      </w:pPr>
      <w:r>
        <w:rPr>
          <w:rFonts w:ascii="Arial" w:cs="Arial" w:eastAsia="Arial" w:hAnsi="Arial"/>
          <w:sz w:val="14"/>
          <w:szCs w:val="14"/>
          <w:color w:val="auto"/>
        </w:rPr>
        <w:t>In September 2022, we signed a purchase and sale agreement (the “Zejula Royalty Monetization Agreement”) with a wholly-owned subsidiary of DRI Healthcare Trust (“DRI”) to monetize all of our future royalties on global net sales of Zejula under the GSK Settlement Agreement. Under the terms of the Zejula Royalty Monetization Agreement, we received $35.0 million in exchange for all royalties payable by GSK to us under the GSK Settlement Agreement on global net sales of Zejula starting in July 2022 (the “Purchased Royalty Interest”). In addition, under the Zejula Royalty Monetization Agreement, we are entitled to receive an additional $10.0 million payment from DRI if Zejula is approved by the U.S. Food and Drug Administration for the treatment of endometrial cancer on or prior to December 31, 2025.</w:t>
      </w:r>
    </w:p>
    <w:p>
      <w:pPr>
        <w:spacing w:after="0" w:line="62" w:lineRule="exact"/>
        <w:rPr>
          <w:sz w:val="20"/>
          <w:szCs w:val="20"/>
          <w:color w:val="auto"/>
        </w:rPr>
      </w:pPr>
    </w:p>
    <w:p>
      <w:pPr>
        <w:ind w:right="120" w:firstLine="350"/>
        <w:spacing w:after="0" w:line="297" w:lineRule="auto"/>
        <w:rPr>
          <w:sz w:val="20"/>
          <w:szCs w:val="20"/>
          <w:color w:val="auto"/>
        </w:rPr>
      </w:pPr>
      <w:r>
        <w:rPr>
          <w:rFonts w:ascii="Arial" w:cs="Arial" w:eastAsia="Arial" w:hAnsi="Arial"/>
          <w:sz w:val="13"/>
          <w:szCs w:val="13"/>
          <w:color w:val="auto"/>
        </w:rPr>
        <w:t>The proceeds received from DRI of $35.0 million were recorded as a liability, net of transaction costs of $0.2 million, which will be amortized over the estimated life of the arrangement using the effective interest rate method. Royalty revenue will be recognized as earned on net sales of Zejula, and we will record the royalty payments to DRI as a reduction of the liability when paid. As such payments are made to DRI, the balance of the liability will be effectively repaid over the life of the Zejula Royalty Monetization Agreement.</w:t>
      </w:r>
    </w:p>
    <w:p>
      <w:pPr>
        <w:spacing w:after="0" w:line="39" w:lineRule="exact"/>
        <w:rPr>
          <w:sz w:val="20"/>
          <w:szCs w:val="20"/>
          <w:color w:val="auto"/>
        </w:rPr>
      </w:pPr>
    </w:p>
    <w:p>
      <w:pPr>
        <w:ind w:right="20" w:firstLine="350"/>
        <w:spacing w:after="0" w:line="288" w:lineRule="auto"/>
        <w:rPr>
          <w:sz w:val="20"/>
          <w:szCs w:val="20"/>
          <w:color w:val="auto"/>
        </w:rPr>
      </w:pPr>
      <w:r>
        <w:rPr>
          <w:rFonts w:ascii="Arial" w:cs="Arial" w:eastAsia="Arial" w:hAnsi="Arial"/>
          <w:sz w:val="13"/>
          <w:szCs w:val="13"/>
          <w:color w:val="auto"/>
        </w:rPr>
        <w:t>We estimate the effective interest rate used to record non-cash interest expense under the Zejula Royalty Monetization Agreement based on the estimate of future royalty payments to be received by DRI. As of September 30, 2022, the estimated effective rate under the agreement was 7.6%. Over the life of the arrangement, the actual effective interest rate will be affected by the amount and the timing of the royalty payments received by DRI and the changes in our forecasted royalties. At each reporting date, we will reassess our estimate of total future royalty payments to be received and if such payments are materially different than our original estimates, we will prospectively adjust the imputed interest rate and the related amortization of the royalty obligation.</w:t>
      </w:r>
    </w:p>
    <w:p>
      <w:pPr>
        <w:spacing w:after="0" w:line="46" w:lineRule="exact"/>
        <w:rPr>
          <w:sz w:val="20"/>
          <w:szCs w:val="20"/>
          <w:color w:val="auto"/>
        </w:rPr>
      </w:pPr>
    </w:p>
    <w:p>
      <w:pPr>
        <w:jc w:val="both"/>
        <w:ind w:right="180" w:firstLine="350"/>
        <w:spacing w:after="0" w:line="267" w:lineRule="auto"/>
        <w:rPr>
          <w:sz w:val="20"/>
          <w:szCs w:val="20"/>
          <w:color w:val="auto"/>
        </w:rPr>
      </w:pPr>
      <w:r>
        <w:rPr>
          <w:rFonts w:ascii="Arial" w:cs="Arial" w:eastAsia="Arial" w:hAnsi="Arial"/>
          <w:sz w:val="14"/>
          <w:szCs w:val="14"/>
          <w:color w:val="auto"/>
        </w:rPr>
        <w:t>We recognized Zejula non-cash royalty revenue of approximately $0.7 million for both the three and nine months ended September 30, 2022, and non-cash interest expense of approximately $0.2 million for both the three and nine months ended September 30, 2022. The interest and amortization of issuance costs is reflected as non-cash interest expense for the sale of future royalties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15" w:name="page16"/>
    <w:bookmarkEnd w:id="15"/>
    <w:p>
      <w:pPr>
        <w:ind w:left="360"/>
        <w:spacing w:after="0"/>
        <w:rPr>
          <w:sz w:val="20"/>
          <w:szCs w:val="20"/>
          <w:color w:val="auto"/>
        </w:rPr>
      </w:pPr>
      <w:r>
        <w:rPr>
          <w:rFonts w:ascii="Arial" w:cs="Arial" w:eastAsia="Arial" w:hAnsi="Arial"/>
          <w:sz w:val="14"/>
          <w:szCs w:val="14"/>
          <w:color w:val="auto"/>
        </w:rPr>
        <w:t>The following table shows the activity within the liability account for the nine months ended September 30, 2022:</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8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42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jc w:val="right"/>
              <w:ind w:right="671"/>
              <w:spacing w:after="0"/>
              <w:rPr>
                <w:sz w:val="20"/>
                <w:szCs w:val="20"/>
                <w:color w:val="auto"/>
              </w:rPr>
            </w:pPr>
            <w:r>
              <w:rPr>
                <w:rFonts w:ascii="Arial" w:cs="Arial" w:eastAsia="Arial" w:hAnsi="Arial"/>
                <w:sz w:val="11"/>
                <w:szCs w:val="11"/>
                <w:b w:val="1"/>
                <w:bCs w:val="1"/>
                <w:color w:val="auto"/>
              </w:rPr>
              <w:t>September 30, 2022</w:t>
            </w:r>
          </w:p>
        </w:tc>
      </w:tr>
      <w:tr>
        <w:trPr>
          <w:trHeight w:val="180"/>
        </w:trPr>
        <w:tc>
          <w:tcPr>
            <w:tcW w:w="8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Liability related to sale of future Zejula royalties and milestones - balance at 12/31/2021</w:t>
            </w: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860" w:type="dxa"/>
            <w:vAlign w:val="bottom"/>
          </w:tcPr>
          <w:p>
            <w:pPr>
              <w:ind w:left="100"/>
              <w:spacing w:after="0"/>
              <w:rPr>
                <w:sz w:val="20"/>
                <w:szCs w:val="20"/>
                <w:color w:val="auto"/>
              </w:rPr>
            </w:pPr>
            <w:r>
              <w:rPr>
                <w:rFonts w:ascii="Arial" w:cs="Arial" w:eastAsia="Arial" w:hAnsi="Arial"/>
                <w:sz w:val="14"/>
                <w:szCs w:val="14"/>
                <w:color w:val="auto"/>
              </w:rPr>
              <w:t>Proceeds from sale of future royalties</w:t>
            </w:r>
          </w:p>
        </w:tc>
        <w:tc>
          <w:tcPr>
            <w:tcW w:w="420" w:type="dxa"/>
            <w:vAlign w:val="bottom"/>
          </w:tcPr>
          <w:p>
            <w:pPr>
              <w:spacing w:after="0"/>
              <w:rPr>
                <w:sz w:val="15"/>
                <w:szCs w:val="15"/>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35,000</w:t>
            </w:r>
          </w:p>
        </w:tc>
      </w:tr>
      <w:tr>
        <w:trPr>
          <w:trHeight w:val="181"/>
        </w:trPr>
        <w:tc>
          <w:tcPr>
            <w:tcW w:w="8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Issuance costs related to the sale of future royalties</w:t>
            </w: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r>
      <w:tr>
        <w:trPr>
          <w:trHeight w:val="180"/>
        </w:trPr>
        <w:tc>
          <w:tcPr>
            <w:tcW w:w="8860" w:type="dxa"/>
            <w:vAlign w:val="bottom"/>
          </w:tcPr>
          <w:p>
            <w:pPr>
              <w:ind w:left="100"/>
              <w:spacing w:after="0"/>
              <w:rPr>
                <w:sz w:val="20"/>
                <w:szCs w:val="20"/>
                <w:color w:val="auto"/>
              </w:rPr>
            </w:pPr>
            <w:r>
              <w:rPr>
                <w:rFonts w:ascii="Arial" w:cs="Arial" w:eastAsia="Arial" w:hAnsi="Arial"/>
                <w:sz w:val="14"/>
                <w:szCs w:val="14"/>
                <w:color w:val="auto"/>
              </w:rPr>
              <w:t>Amortization of issuance costs</w:t>
            </w:r>
          </w:p>
        </w:tc>
        <w:tc>
          <w:tcPr>
            <w:tcW w:w="420" w:type="dxa"/>
            <w:vAlign w:val="bottom"/>
          </w:tcPr>
          <w:p>
            <w:pPr>
              <w:spacing w:after="0"/>
              <w:rPr>
                <w:sz w:val="15"/>
                <w:szCs w:val="15"/>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0"/>
        </w:trPr>
        <w:tc>
          <w:tcPr>
            <w:tcW w:w="8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Non-cash interest expense recognized</w:t>
            </w:r>
          </w:p>
        </w:tc>
        <w:tc>
          <w:tcPr>
            <w:tcW w:w="420" w:type="dxa"/>
            <w:vAlign w:val="bottom"/>
            <w:tcBorders>
              <w:bottom w:val="single" w:sz="8" w:color="auto"/>
            </w:tcBorders>
            <w:shd w:val="clear" w:color="auto" w:fill="CCEEFF"/>
          </w:tcPr>
          <w:p>
            <w:pPr>
              <w:spacing w:after="0"/>
              <w:rPr>
                <w:sz w:val="15"/>
                <w:szCs w:val="15"/>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w:t>
            </w:r>
          </w:p>
        </w:tc>
      </w:tr>
      <w:tr>
        <w:trPr>
          <w:trHeight w:val="171"/>
        </w:trPr>
        <w:tc>
          <w:tcPr>
            <w:tcW w:w="8860" w:type="dxa"/>
            <w:vAlign w:val="bottom"/>
          </w:tcPr>
          <w:p>
            <w:pPr>
              <w:ind w:left="20"/>
              <w:spacing w:after="0"/>
              <w:rPr>
                <w:sz w:val="20"/>
                <w:szCs w:val="20"/>
                <w:color w:val="auto"/>
              </w:rPr>
            </w:pPr>
            <w:r>
              <w:rPr>
                <w:rFonts w:ascii="Arial" w:cs="Arial" w:eastAsia="Arial" w:hAnsi="Arial"/>
                <w:sz w:val="14"/>
                <w:szCs w:val="14"/>
                <w:color w:val="auto"/>
              </w:rPr>
              <w:t>Liability related to sale of future royalties and milestones - ending balance</w:t>
            </w:r>
          </w:p>
        </w:tc>
        <w:tc>
          <w:tcPr>
            <w:tcW w:w="4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w w:val="76"/>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34,970</w:t>
            </w:r>
          </w:p>
        </w:tc>
      </w:tr>
      <w:tr>
        <w:trPr>
          <w:trHeight w:val="20"/>
        </w:trPr>
        <w:tc>
          <w:tcPr>
            <w:tcW w:w="8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200" w:right="7440" w:hanging="195"/>
        <w:spacing w:after="0" w:line="382" w:lineRule="auto"/>
        <w:tabs>
          <w:tab w:leader="none" w:pos="150"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Fair Value Measurements and Available for Sale Investments </w:t>
      </w:r>
      <w:r>
        <w:rPr>
          <w:rFonts w:ascii="Arial" w:cs="Arial" w:eastAsia="Arial" w:hAnsi="Arial"/>
          <w:sz w:val="14"/>
          <w:szCs w:val="14"/>
          <w:b w:val="1"/>
          <w:bCs w:val="1"/>
          <w:i w:val="1"/>
          <w:iCs w:val="1"/>
          <w:color w:val="auto"/>
        </w:rPr>
        <w:t>Fair Value Measurements</w:t>
      </w:r>
    </w:p>
    <w:p>
      <w:pPr>
        <w:spacing w:after="0" w:line="1" w:lineRule="exact"/>
        <w:rPr>
          <w:sz w:val="20"/>
          <w:szCs w:val="20"/>
          <w:color w:val="auto"/>
        </w:rPr>
      </w:pPr>
    </w:p>
    <w:p>
      <w:pPr>
        <w:ind w:right="180" w:firstLine="382"/>
        <w:spacing w:after="0" w:line="281" w:lineRule="auto"/>
        <w:rPr>
          <w:sz w:val="20"/>
          <w:szCs w:val="20"/>
          <w:color w:val="auto"/>
        </w:rPr>
      </w:pPr>
      <w:r>
        <w:rPr>
          <w:rFonts w:ascii="Arial" w:cs="Arial" w:eastAsia="Arial" w:hAnsi="Arial"/>
          <w:sz w:val="14"/>
          <w:szCs w:val="14"/>
          <w:color w:val="auto"/>
        </w:rPr>
        <w:t>Our financial instruments consist principally of cash, cash equivalents, short-term and long-term investments, receivables, and accounts payable. Certain of our financial assets and liabilities have been recorded at fair value in the consolidated balance sheet in accordance with the accounting standards for fair value measurements.</w:t>
      </w:r>
    </w:p>
    <w:p>
      <w:pPr>
        <w:spacing w:after="0" w:line="47" w:lineRule="exact"/>
        <w:rPr>
          <w:sz w:val="20"/>
          <w:szCs w:val="20"/>
          <w:color w:val="auto"/>
        </w:rPr>
      </w:pPr>
    </w:p>
    <w:p>
      <w:pPr>
        <w:jc w:val="both"/>
        <w:ind w:right="40" w:firstLine="382"/>
        <w:spacing w:after="0" w:line="267" w:lineRule="auto"/>
        <w:rPr>
          <w:sz w:val="20"/>
          <w:szCs w:val="20"/>
          <w:color w:val="auto"/>
        </w:rPr>
      </w:pPr>
      <w:r>
        <w:rPr>
          <w:rFonts w:ascii="Arial" w:cs="Arial" w:eastAsia="Arial" w:hAnsi="Arial"/>
          <w:sz w:val="14"/>
          <w:szCs w:val="14"/>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Level 1 - Observable inputs that reflect quoted prices (unadjusted) for identical assets or liabilities in active markets.</w:t>
      </w:r>
    </w:p>
    <w:p>
      <w:pPr>
        <w:spacing w:after="0" w:line="94" w:lineRule="exact"/>
        <w:rPr>
          <w:sz w:val="20"/>
          <w:szCs w:val="20"/>
          <w:color w:val="auto"/>
        </w:rPr>
      </w:pPr>
    </w:p>
    <w:p>
      <w:pPr>
        <w:ind w:firstLine="382"/>
        <w:spacing w:after="0" w:line="281" w:lineRule="auto"/>
        <w:rPr>
          <w:sz w:val="20"/>
          <w:szCs w:val="20"/>
          <w:color w:val="auto"/>
        </w:rPr>
      </w:pPr>
      <w:r>
        <w:rPr>
          <w:rFonts w:ascii="Arial" w:cs="Arial" w:eastAsia="Arial" w:hAnsi="Arial"/>
          <w:sz w:val="14"/>
          <w:szCs w:val="14"/>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4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Level 3 - Unobservable inputs that are supported by little or no market activities, therefore requiring an entity to develop its own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16" w:name="page17"/>
    <w:bookmarkEnd w:id="16"/>
    <w:p>
      <w:pPr>
        <w:ind w:left="220"/>
        <w:spacing w:after="0"/>
        <w:rPr>
          <w:sz w:val="20"/>
          <w:szCs w:val="20"/>
          <w:color w:val="auto"/>
        </w:rPr>
      </w:pPr>
      <w:r>
        <w:rPr>
          <w:rFonts w:ascii="Arial" w:cs="Arial" w:eastAsia="Arial" w:hAnsi="Arial"/>
          <w:sz w:val="14"/>
          <w:szCs w:val="14"/>
          <w:b w:val="1"/>
          <w:bCs w:val="1"/>
          <w:i w:val="1"/>
          <w:iCs w:val="1"/>
          <w:color w:val="auto"/>
        </w:rPr>
        <w:t>Assets and Liabilities Measured at Fair Value on a Recurring Basis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The following table summarizes our assets and liabilities that require fair value measurements on a recurring basis and their respective input levels based on the fair value hierarchy:</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gridSpan w:val="5"/>
          </w:tcPr>
          <w:p>
            <w:pPr>
              <w:ind w:left="120"/>
              <w:spacing w:after="0"/>
              <w:rPr>
                <w:sz w:val="20"/>
                <w:szCs w:val="20"/>
                <w:color w:val="auto"/>
              </w:rPr>
            </w:pPr>
            <w:r>
              <w:rPr>
                <w:rFonts w:ascii="Arial" w:cs="Arial" w:eastAsia="Arial" w:hAnsi="Arial"/>
                <w:sz w:val="11"/>
                <w:szCs w:val="11"/>
                <w:b w:val="1"/>
                <w:bCs w:val="1"/>
                <w:color w:val="auto"/>
              </w:rPr>
              <w:t>Fair Value Measurements at End of Period Using:</w:t>
            </w: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r>
      <w:tr>
        <w:trPr>
          <w:trHeight w:val="131"/>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6"/>
              </w:rPr>
              <w:t>Quoted Market</w:t>
            </w:r>
          </w:p>
        </w:tc>
        <w:tc>
          <w:tcPr>
            <w:tcW w:w="200" w:type="dxa"/>
            <w:vAlign w:val="bottom"/>
          </w:tcPr>
          <w:p>
            <w:pPr>
              <w:spacing w:after="0"/>
              <w:rPr>
                <w:sz w:val="11"/>
                <w:szCs w:val="11"/>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5"/>
              </w:rPr>
              <w:t>Significant</w:t>
            </w:r>
          </w:p>
        </w:tc>
        <w:tc>
          <w:tcPr>
            <w:tcW w:w="260" w:type="dxa"/>
            <w:vAlign w:val="bottom"/>
          </w:tcPr>
          <w:p>
            <w:pPr>
              <w:spacing w:after="0"/>
              <w:rPr>
                <w:sz w:val="11"/>
                <w:szCs w:val="11"/>
                <w:color w:val="auto"/>
              </w:rPr>
            </w:pPr>
          </w:p>
        </w:tc>
        <w:tc>
          <w:tcPr>
            <w:tcW w:w="1240" w:type="dxa"/>
            <w:vAlign w:val="bottom"/>
          </w:tcPr>
          <w:p>
            <w:pPr>
              <w:jc w:val="center"/>
              <w:ind w:right="173"/>
              <w:spacing w:after="0"/>
              <w:rPr>
                <w:sz w:val="20"/>
                <w:szCs w:val="20"/>
                <w:color w:val="auto"/>
              </w:rPr>
            </w:pPr>
            <w:r>
              <w:rPr>
                <w:rFonts w:ascii="Arial" w:cs="Arial" w:eastAsia="Arial" w:hAnsi="Arial"/>
                <w:sz w:val="11"/>
                <w:szCs w:val="11"/>
                <w:b w:val="1"/>
                <w:bCs w:val="1"/>
                <w:color w:val="auto"/>
                <w:w w:val="92"/>
              </w:rPr>
              <w:t>Significant</w:t>
            </w:r>
          </w:p>
        </w:tc>
      </w:tr>
      <w:tr>
        <w:trPr>
          <w:trHeight w:val="127"/>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0"/>
              </w:rPr>
              <w:t>Prices for</w:t>
            </w:r>
          </w:p>
        </w:tc>
        <w:tc>
          <w:tcPr>
            <w:tcW w:w="200" w:type="dxa"/>
            <w:vAlign w:val="bottom"/>
          </w:tcPr>
          <w:p>
            <w:pPr>
              <w:spacing w:after="0"/>
              <w:rPr>
                <w:sz w:val="11"/>
                <w:szCs w:val="11"/>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3"/>
              </w:rPr>
              <w:t>Other Observable</w:t>
            </w:r>
          </w:p>
        </w:tc>
        <w:tc>
          <w:tcPr>
            <w:tcW w:w="260" w:type="dxa"/>
            <w:vAlign w:val="bottom"/>
          </w:tcPr>
          <w:p>
            <w:pPr>
              <w:spacing w:after="0"/>
              <w:rPr>
                <w:sz w:val="11"/>
                <w:szCs w:val="11"/>
                <w:color w:val="auto"/>
              </w:rPr>
            </w:pPr>
          </w:p>
        </w:tc>
        <w:tc>
          <w:tcPr>
            <w:tcW w:w="1240" w:type="dxa"/>
            <w:vAlign w:val="bottom"/>
          </w:tcPr>
          <w:p>
            <w:pPr>
              <w:jc w:val="center"/>
              <w:ind w:right="193"/>
              <w:spacing w:after="0"/>
              <w:rPr>
                <w:sz w:val="20"/>
                <w:szCs w:val="20"/>
                <w:color w:val="auto"/>
              </w:rPr>
            </w:pPr>
            <w:r>
              <w:rPr>
                <w:rFonts w:ascii="Arial" w:cs="Arial" w:eastAsia="Arial" w:hAnsi="Arial"/>
                <w:sz w:val="11"/>
                <w:szCs w:val="11"/>
                <w:b w:val="1"/>
                <w:bCs w:val="1"/>
                <w:color w:val="auto"/>
                <w:w w:val="90"/>
              </w:rPr>
              <w:t>Unobservable</w:t>
            </w:r>
          </w:p>
        </w:tc>
      </w:tr>
      <w:tr>
        <w:trPr>
          <w:trHeight w:val="127"/>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960" w:type="dxa"/>
            <w:vAlign w:val="bottom"/>
          </w:tcPr>
          <w:p>
            <w:pPr>
              <w:jc w:val="right"/>
              <w:ind w:right="16"/>
              <w:spacing w:after="0"/>
              <w:rPr>
                <w:sz w:val="20"/>
                <w:szCs w:val="20"/>
                <w:color w:val="auto"/>
              </w:rPr>
            </w:pPr>
            <w:r>
              <w:rPr>
                <w:rFonts w:ascii="Arial" w:cs="Arial" w:eastAsia="Arial" w:hAnsi="Arial"/>
                <w:sz w:val="11"/>
                <w:szCs w:val="11"/>
                <w:b w:val="1"/>
                <w:bCs w:val="1"/>
                <w:color w:val="auto"/>
              </w:rPr>
              <w:t>Fair</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8"/>
              </w:rPr>
              <w:t>Identical Assets</w:t>
            </w:r>
          </w:p>
        </w:tc>
        <w:tc>
          <w:tcPr>
            <w:tcW w:w="200" w:type="dxa"/>
            <w:vAlign w:val="bottom"/>
          </w:tcPr>
          <w:p>
            <w:pPr>
              <w:spacing w:after="0"/>
              <w:rPr>
                <w:sz w:val="11"/>
                <w:szCs w:val="11"/>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0"/>
              </w:rPr>
              <w:t>Inputs</w:t>
            </w:r>
          </w:p>
        </w:tc>
        <w:tc>
          <w:tcPr>
            <w:tcW w:w="260" w:type="dxa"/>
            <w:vAlign w:val="bottom"/>
          </w:tcPr>
          <w:p>
            <w:pPr>
              <w:spacing w:after="0"/>
              <w:rPr>
                <w:sz w:val="11"/>
                <w:szCs w:val="11"/>
                <w:color w:val="auto"/>
              </w:rPr>
            </w:pPr>
          </w:p>
        </w:tc>
        <w:tc>
          <w:tcPr>
            <w:tcW w:w="1240" w:type="dxa"/>
            <w:vAlign w:val="bottom"/>
          </w:tcPr>
          <w:p>
            <w:pPr>
              <w:jc w:val="center"/>
              <w:ind w:right="193"/>
              <w:spacing w:after="0"/>
              <w:rPr>
                <w:sz w:val="20"/>
                <w:szCs w:val="20"/>
                <w:color w:val="auto"/>
              </w:rPr>
            </w:pPr>
            <w:r>
              <w:rPr>
                <w:rFonts w:ascii="Arial" w:cs="Arial" w:eastAsia="Arial" w:hAnsi="Arial"/>
                <w:sz w:val="11"/>
                <w:szCs w:val="11"/>
                <w:b w:val="1"/>
                <w:bCs w:val="1"/>
                <w:color w:val="auto"/>
                <w:w w:val="90"/>
              </w:rPr>
              <w:t>Inputs</w:t>
            </w:r>
          </w:p>
        </w:tc>
      </w:tr>
      <w:tr>
        <w:trPr>
          <w:trHeight w:val="156"/>
        </w:trPr>
        <w:tc>
          <w:tcPr>
            <w:tcW w:w="20" w:type="dxa"/>
            <w:vAlign w:val="bottom"/>
          </w:tcPr>
          <w:p>
            <w:pPr>
              <w:spacing w:after="0"/>
              <w:rPr>
                <w:sz w:val="13"/>
                <w:szCs w:val="13"/>
                <w:color w:val="auto"/>
              </w:rPr>
            </w:pPr>
          </w:p>
        </w:tc>
        <w:tc>
          <w:tcPr>
            <w:tcW w:w="4900" w:type="dxa"/>
            <w:vAlign w:val="bottom"/>
            <w:gridSpan w:val="3"/>
          </w:tcPr>
          <w:p>
            <w:pPr>
              <w:spacing w:after="0"/>
              <w:rPr>
                <w:sz w:val="20"/>
                <w:szCs w:val="20"/>
                <w:color w:val="auto"/>
              </w:rPr>
            </w:pPr>
            <w:r>
              <w:rPr>
                <w:rFonts w:ascii="Arial" w:cs="Arial" w:eastAsia="Arial" w:hAnsi="Arial"/>
                <w:sz w:val="11"/>
                <w:szCs w:val="11"/>
                <w:b w:val="1"/>
                <w:bCs w:val="1"/>
                <w:color w:val="auto"/>
              </w:rPr>
              <w:t>(in thousands)</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Value</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4"/>
              </w:rPr>
              <w:t>(Level 1)</w:t>
            </w:r>
          </w:p>
        </w:tc>
        <w:tc>
          <w:tcPr>
            <w:tcW w:w="200" w:type="dxa"/>
            <w:vAlign w:val="bottom"/>
          </w:tcPr>
          <w:p>
            <w:pPr>
              <w:spacing w:after="0"/>
              <w:rPr>
                <w:sz w:val="13"/>
                <w:szCs w:val="13"/>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4"/>
              </w:rPr>
              <w:t>(Level 2)</w:t>
            </w:r>
          </w:p>
        </w:tc>
        <w:tc>
          <w:tcPr>
            <w:tcW w:w="260" w:type="dxa"/>
            <w:vAlign w:val="bottom"/>
          </w:tcPr>
          <w:p>
            <w:pPr>
              <w:spacing w:after="0"/>
              <w:rPr>
                <w:sz w:val="13"/>
                <w:szCs w:val="13"/>
                <w:color w:val="auto"/>
              </w:rPr>
            </w:pPr>
          </w:p>
        </w:tc>
        <w:tc>
          <w:tcPr>
            <w:tcW w:w="1240" w:type="dxa"/>
            <w:vAlign w:val="bottom"/>
          </w:tcPr>
          <w:p>
            <w:pPr>
              <w:jc w:val="center"/>
              <w:ind w:right="193"/>
              <w:spacing w:after="0"/>
              <w:rPr>
                <w:sz w:val="20"/>
                <w:szCs w:val="20"/>
                <w:color w:val="auto"/>
              </w:rPr>
            </w:pPr>
            <w:r>
              <w:rPr>
                <w:rFonts w:ascii="Arial" w:cs="Arial" w:eastAsia="Arial" w:hAnsi="Arial"/>
                <w:sz w:val="11"/>
                <w:szCs w:val="11"/>
                <w:b w:val="1"/>
                <w:bCs w:val="1"/>
                <w:color w:val="auto"/>
                <w:w w:val="94"/>
              </w:rPr>
              <w:t>(Level 3)</w:t>
            </w:r>
          </w:p>
        </w:tc>
      </w:tr>
      <w:tr>
        <w:trPr>
          <w:trHeight w:val="150"/>
        </w:trPr>
        <w:tc>
          <w:tcPr>
            <w:tcW w:w="20" w:type="dxa"/>
            <w:vAlign w:val="bottom"/>
            <w:tcBorders>
              <w:top w:val="single" w:sz="8" w:color="CFF0FC"/>
            </w:tcBorders>
            <w:shd w:val="clear" w:color="auto" w:fill="CFF0FC"/>
          </w:tcPr>
          <w:p>
            <w:pPr>
              <w:spacing w:after="0"/>
              <w:rPr>
                <w:sz w:val="13"/>
                <w:szCs w:val="13"/>
                <w:color w:val="auto"/>
              </w:rPr>
            </w:pPr>
          </w:p>
        </w:tc>
        <w:tc>
          <w:tcPr>
            <w:tcW w:w="4900" w:type="dxa"/>
            <w:vAlign w:val="bottom"/>
            <w:tcBorders>
              <w:top w:val="single" w:sz="8" w:color="CFF0FC"/>
            </w:tcBorders>
            <w:gridSpan w:val="3"/>
            <w:shd w:val="clear" w:color="auto" w:fill="CFF0FC"/>
          </w:tcPr>
          <w:p>
            <w:pPr>
              <w:spacing w:after="0" w:line="138" w:lineRule="exact"/>
              <w:rPr>
                <w:sz w:val="20"/>
                <w:szCs w:val="20"/>
                <w:color w:val="auto"/>
              </w:rPr>
            </w:pPr>
            <w:r>
              <w:rPr>
                <w:rFonts w:ascii="Arial" w:cs="Arial" w:eastAsia="Arial" w:hAnsi="Arial"/>
                <w:sz w:val="14"/>
                <w:szCs w:val="14"/>
                <w:b w:val="1"/>
                <w:bCs w:val="1"/>
                <w:color w:val="auto"/>
              </w:rPr>
              <w:t>At September 30, 2022</w:t>
            </w:r>
          </w:p>
        </w:tc>
        <w:tc>
          <w:tcPr>
            <w:tcW w:w="96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2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130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240" w:type="dxa"/>
            <w:vAlign w:val="bottom"/>
            <w:tcBorders>
              <w:top w:val="single" w:sz="8" w:color="auto"/>
            </w:tcBorders>
            <w:shd w:val="clear" w:color="auto" w:fill="CFF0FC"/>
          </w:tcPr>
          <w:p>
            <w:pPr>
              <w:spacing w:after="0"/>
              <w:rPr>
                <w:sz w:val="13"/>
                <w:szCs w:val="13"/>
                <w:color w:val="auto"/>
              </w:rPr>
            </w:pPr>
          </w:p>
        </w:tc>
      </w:tr>
      <w:tr>
        <w:trPr>
          <w:trHeight w:val="202"/>
        </w:trPr>
        <w:tc>
          <w:tcPr>
            <w:tcW w:w="20" w:type="dxa"/>
            <w:vAlign w:val="bottom"/>
            <w:tcBorders>
              <w:top w:val="single" w:sz="8" w:color="CFF0FC"/>
            </w:tcBorders>
          </w:tcPr>
          <w:p>
            <w:pPr>
              <w:spacing w:after="0"/>
              <w:rPr>
                <w:sz w:val="17"/>
                <w:szCs w:val="17"/>
                <w:color w:val="auto"/>
              </w:rPr>
            </w:pPr>
          </w:p>
        </w:tc>
        <w:tc>
          <w:tcPr>
            <w:tcW w:w="136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4"/>
                <w:szCs w:val="14"/>
                <w:color w:val="auto"/>
                <w:w w:val="94"/>
              </w:rPr>
              <w:t>Money market funds</w:t>
            </w:r>
            <w:r>
              <w:rPr>
                <w:rFonts w:ascii="Arial" w:cs="Arial" w:eastAsia="Arial" w:hAnsi="Arial"/>
                <w:sz w:val="18"/>
                <w:szCs w:val="18"/>
                <w:color w:val="auto"/>
                <w:w w:val="94"/>
                <w:vertAlign w:val="superscript"/>
              </w:rPr>
              <w:t>(1)</w:t>
            </w:r>
          </w:p>
        </w:tc>
        <w:tc>
          <w:tcPr>
            <w:tcW w:w="3540" w:type="dxa"/>
            <w:vAlign w:val="bottom"/>
            <w:tcBorders>
              <w:top w:val="single" w:sz="8" w:color="CFF0FC"/>
            </w:tcBorders>
          </w:tcPr>
          <w:p>
            <w:pPr>
              <w:spacing w:after="0"/>
              <w:rPr>
                <w:sz w:val="17"/>
                <w:szCs w:val="17"/>
                <w:color w:val="auto"/>
              </w:rPr>
            </w:pPr>
          </w:p>
        </w:tc>
        <w:tc>
          <w:tcPr>
            <w:tcW w:w="960" w:type="dxa"/>
            <w:vAlign w:val="bottom"/>
            <w:tcBorders>
              <w:top w:val="single" w:sz="8" w:color="CFF0FC"/>
            </w:tcBorders>
          </w:tcPr>
          <w:p>
            <w:pPr>
              <w:jc w:val="right"/>
              <w:ind w:right="796"/>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CFF0FC"/>
            </w:tcBorders>
          </w:tcPr>
          <w:p>
            <w:pPr>
              <w:jc w:val="right"/>
              <w:spacing w:after="0"/>
              <w:rPr>
                <w:sz w:val="20"/>
                <w:szCs w:val="20"/>
                <w:color w:val="auto"/>
              </w:rPr>
            </w:pPr>
            <w:r>
              <w:rPr>
                <w:rFonts w:ascii="Arial" w:cs="Arial" w:eastAsia="Arial" w:hAnsi="Arial"/>
                <w:sz w:val="14"/>
                <w:szCs w:val="14"/>
                <w:color w:val="auto"/>
              </w:rPr>
              <w:t>46,030</w:t>
            </w:r>
          </w:p>
        </w:tc>
        <w:tc>
          <w:tcPr>
            <w:tcW w:w="10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jc w:val="right"/>
              <w:ind w:right="69"/>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CFF0FC"/>
            </w:tcBorders>
          </w:tcPr>
          <w:p>
            <w:pPr>
              <w:jc w:val="right"/>
              <w:spacing w:after="0"/>
              <w:rPr>
                <w:sz w:val="20"/>
                <w:szCs w:val="20"/>
                <w:color w:val="auto"/>
              </w:rPr>
            </w:pPr>
            <w:r>
              <w:rPr>
                <w:rFonts w:ascii="Arial" w:cs="Arial" w:eastAsia="Arial" w:hAnsi="Arial"/>
                <w:sz w:val="14"/>
                <w:szCs w:val="14"/>
                <w:color w:val="auto"/>
              </w:rPr>
              <w:t>46,030</w:t>
            </w:r>
          </w:p>
        </w:tc>
        <w:tc>
          <w:tcPr>
            <w:tcW w:w="10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jc w:val="right"/>
              <w:ind w:right="49"/>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CFF0FC"/>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CFF0FC"/>
            </w:tcBorders>
          </w:tcPr>
          <w:p>
            <w:pPr>
              <w:jc w:val="right"/>
              <w:ind w:right="10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CFF0FC"/>
            </w:tcBorders>
          </w:tcPr>
          <w:p>
            <w:pPr>
              <w:ind w:left="1040"/>
              <w:spacing w:after="0"/>
              <w:rPr>
                <w:sz w:val="20"/>
                <w:szCs w:val="20"/>
                <w:color w:val="auto"/>
              </w:rPr>
            </w:pPr>
            <w:r>
              <w:rPr>
                <w:rFonts w:ascii="Arial" w:cs="Arial" w:eastAsia="Arial" w:hAnsi="Arial"/>
                <w:sz w:val="14"/>
                <w:szCs w:val="14"/>
                <w:color w:val="auto"/>
              </w:rPr>
              <w:t>—</w:t>
            </w:r>
          </w:p>
        </w:tc>
      </w:tr>
      <w:tr>
        <w:trPr>
          <w:trHeight w:val="202"/>
        </w:trPr>
        <w:tc>
          <w:tcPr>
            <w:tcW w:w="20" w:type="dxa"/>
            <w:vAlign w:val="bottom"/>
            <w:shd w:val="clear" w:color="auto" w:fill="CFF0FC"/>
          </w:tcPr>
          <w:p>
            <w:pPr>
              <w:spacing w:after="0"/>
              <w:rPr>
                <w:sz w:val="17"/>
                <w:szCs w:val="17"/>
                <w:color w:val="auto"/>
              </w:rPr>
            </w:pPr>
          </w:p>
        </w:tc>
        <w:tc>
          <w:tcPr>
            <w:tcW w:w="4900" w:type="dxa"/>
            <w:vAlign w:val="bottom"/>
            <w:gridSpan w:val="3"/>
            <w:shd w:val="clear" w:color="auto" w:fill="CFF0FC"/>
          </w:tcPr>
          <w:p>
            <w:pPr>
              <w:spacing w:after="0" w:line="201" w:lineRule="exact"/>
              <w:rPr>
                <w:sz w:val="20"/>
                <w:szCs w:val="20"/>
                <w:color w:val="auto"/>
              </w:rPr>
            </w:pPr>
            <w:r>
              <w:rPr>
                <w:rFonts w:ascii="Arial" w:cs="Arial" w:eastAsia="Arial" w:hAnsi="Arial"/>
                <w:sz w:val="14"/>
                <w:szCs w:val="14"/>
                <w:color w:val="auto"/>
              </w:rPr>
              <w:t>Mutual funds</w:t>
            </w:r>
            <w:r>
              <w:rPr>
                <w:rFonts w:ascii="Arial" w:cs="Arial" w:eastAsia="Arial" w:hAnsi="Arial"/>
                <w:sz w:val="18"/>
                <w:szCs w:val="18"/>
                <w:color w:val="auto"/>
                <w:vertAlign w:val="superscript"/>
              </w:rPr>
              <w:t>(1)</w:t>
            </w:r>
          </w:p>
        </w:tc>
        <w:tc>
          <w:tcPr>
            <w:tcW w:w="96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12,610</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12,610</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ind w:left="1040"/>
              <w:spacing w:after="0"/>
              <w:rPr>
                <w:sz w:val="20"/>
                <w:szCs w:val="20"/>
                <w:color w:val="auto"/>
              </w:rPr>
            </w:pPr>
            <w:r>
              <w:rPr>
                <w:rFonts w:ascii="Arial" w:cs="Arial" w:eastAsia="Arial" w:hAnsi="Arial"/>
                <w:sz w:val="14"/>
                <w:szCs w:val="14"/>
                <w:color w:val="auto"/>
              </w:rPr>
              <w:t>—</w:t>
            </w:r>
          </w:p>
        </w:tc>
      </w:tr>
      <w:tr>
        <w:trPr>
          <w:trHeight w:val="202"/>
        </w:trPr>
        <w:tc>
          <w:tcPr>
            <w:tcW w:w="20" w:type="dxa"/>
            <w:vAlign w:val="bottom"/>
          </w:tcPr>
          <w:p>
            <w:pPr>
              <w:spacing w:after="0"/>
              <w:rPr>
                <w:sz w:val="17"/>
                <w:szCs w:val="17"/>
                <w:color w:val="auto"/>
              </w:rPr>
            </w:pPr>
          </w:p>
        </w:tc>
        <w:tc>
          <w:tcPr>
            <w:tcW w:w="4900" w:type="dxa"/>
            <w:vAlign w:val="bottom"/>
            <w:gridSpan w:val="3"/>
          </w:tcPr>
          <w:p>
            <w:pPr>
              <w:spacing w:after="0" w:line="201" w:lineRule="exact"/>
              <w:rPr>
                <w:sz w:val="20"/>
                <w:szCs w:val="20"/>
                <w:color w:val="auto"/>
              </w:rPr>
            </w:pPr>
            <w:r>
              <w:rPr>
                <w:rFonts w:ascii="Arial" w:cs="Arial" w:eastAsia="Arial" w:hAnsi="Arial"/>
                <w:sz w:val="14"/>
                <w:szCs w:val="14"/>
                <w:color w:val="auto"/>
              </w:rPr>
              <w:t>U.S. Treasury securities</w:t>
            </w:r>
            <w:r>
              <w:rPr>
                <w:rFonts w:ascii="Arial" w:cs="Arial" w:eastAsia="Arial" w:hAnsi="Arial"/>
                <w:sz w:val="18"/>
                <w:szCs w:val="18"/>
                <w:color w:val="auto"/>
                <w:vertAlign w:val="superscript"/>
              </w:rPr>
              <w:t>(2)</w:t>
            </w:r>
          </w:p>
        </w:tc>
        <w:tc>
          <w:tcPr>
            <w:tcW w:w="9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4"/>
              </w:rPr>
              <w:t>414,774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414,774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240" w:type="dxa"/>
            <w:vAlign w:val="bottom"/>
          </w:tcPr>
          <w:p>
            <w:pPr>
              <w:ind w:left="1040"/>
              <w:spacing w:after="0"/>
              <w:rPr>
                <w:sz w:val="20"/>
                <w:szCs w:val="20"/>
                <w:color w:val="auto"/>
              </w:rPr>
            </w:pPr>
            <w:r>
              <w:rPr>
                <w:rFonts w:ascii="Arial" w:cs="Arial" w:eastAsia="Arial" w:hAnsi="Arial"/>
                <w:sz w:val="14"/>
                <w:szCs w:val="14"/>
                <w:color w:val="auto"/>
              </w:rPr>
              <w:t>—</w:t>
            </w:r>
          </w:p>
        </w:tc>
      </w:tr>
      <w:tr>
        <w:trPr>
          <w:trHeight w:val="202"/>
        </w:trPr>
        <w:tc>
          <w:tcPr>
            <w:tcW w:w="20" w:type="dxa"/>
            <w:vAlign w:val="bottom"/>
            <w:shd w:val="clear" w:color="auto" w:fill="CFF0FC"/>
          </w:tcPr>
          <w:p>
            <w:pPr>
              <w:spacing w:after="0"/>
              <w:rPr>
                <w:sz w:val="17"/>
                <w:szCs w:val="17"/>
                <w:color w:val="auto"/>
              </w:rPr>
            </w:pPr>
          </w:p>
        </w:tc>
        <w:tc>
          <w:tcPr>
            <w:tcW w:w="4900" w:type="dxa"/>
            <w:vAlign w:val="bottom"/>
            <w:gridSpan w:val="3"/>
            <w:shd w:val="clear" w:color="auto" w:fill="CFF0FC"/>
          </w:tcPr>
          <w:p>
            <w:pPr>
              <w:spacing w:after="0" w:line="201" w:lineRule="exact"/>
              <w:rPr>
                <w:sz w:val="20"/>
                <w:szCs w:val="20"/>
                <w:color w:val="auto"/>
              </w:rPr>
            </w:pPr>
            <w:r>
              <w:rPr>
                <w:rFonts w:ascii="Arial" w:cs="Arial" w:eastAsia="Arial" w:hAnsi="Arial"/>
                <w:sz w:val="14"/>
                <w:szCs w:val="14"/>
                <w:color w:val="auto"/>
              </w:rPr>
              <w:t>Certificates of deposit</w:t>
            </w:r>
            <w:r>
              <w:rPr>
                <w:rFonts w:ascii="Arial" w:cs="Arial" w:eastAsia="Arial" w:hAnsi="Arial"/>
                <w:sz w:val="18"/>
                <w:szCs w:val="18"/>
                <w:color w:val="auto"/>
                <w:vertAlign w:val="superscript"/>
              </w:rPr>
              <w:t>(2)</w:t>
            </w:r>
          </w:p>
        </w:tc>
        <w:tc>
          <w:tcPr>
            <w:tcW w:w="96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2,845</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2,845</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ind w:left="1040"/>
              <w:spacing w:after="0"/>
              <w:rPr>
                <w:sz w:val="20"/>
                <w:szCs w:val="20"/>
                <w:color w:val="auto"/>
              </w:rPr>
            </w:pPr>
            <w:r>
              <w:rPr>
                <w:rFonts w:ascii="Arial" w:cs="Arial" w:eastAsia="Arial" w:hAnsi="Arial"/>
                <w:sz w:val="14"/>
                <w:szCs w:val="14"/>
                <w:color w:val="auto"/>
              </w:rPr>
              <w:t>—</w:t>
            </w:r>
          </w:p>
        </w:tc>
      </w:tr>
      <w:tr>
        <w:trPr>
          <w:trHeight w:val="202"/>
        </w:trPr>
        <w:tc>
          <w:tcPr>
            <w:tcW w:w="20" w:type="dxa"/>
            <w:vAlign w:val="bottom"/>
          </w:tcPr>
          <w:p>
            <w:pPr>
              <w:spacing w:after="0"/>
              <w:rPr>
                <w:sz w:val="17"/>
                <w:szCs w:val="17"/>
                <w:color w:val="auto"/>
              </w:rPr>
            </w:pPr>
          </w:p>
        </w:tc>
        <w:tc>
          <w:tcPr>
            <w:tcW w:w="4900" w:type="dxa"/>
            <w:vAlign w:val="bottom"/>
            <w:gridSpan w:val="3"/>
          </w:tcPr>
          <w:p>
            <w:pPr>
              <w:spacing w:after="0" w:line="201" w:lineRule="exact"/>
              <w:rPr>
                <w:sz w:val="20"/>
                <w:szCs w:val="20"/>
                <w:color w:val="auto"/>
              </w:rPr>
            </w:pPr>
            <w:r>
              <w:rPr>
                <w:rFonts w:ascii="Arial" w:cs="Arial" w:eastAsia="Arial" w:hAnsi="Arial"/>
                <w:sz w:val="14"/>
                <w:szCs w:val="14"/>
                <w:color w:val="auto"/>
              </w:rPr>
              <w:t>Agency securities</w:t>
            </w:r>
            <w:r>
              <w:rPr>
                <w:rFonts w:ascii="Arial" w:cs="Arial" w:eastAsia="Arial" w:hAnsi="Arial"/>
                <w:sz w:val="18"/>
                <w:szCs w:val="18"/>
                <w:color w:val="auto"/>
                <w:vertAlign w:val="superscript"/>
              </w:rPr>
              <w:t>(2)</w:t>
            </w:r>
          </w:p>
        </w:tc>
        <w:tc>
          <w:tcPr>
            <w:tcW w:w="9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59,223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59,223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ind w:left="1040"/>
              <w:spacing w:after="0"/>
              <w:rPr>
                <w:sz w:val="20"/>
                <w:szCs w:val="20"/>
                <w:color w:val="auto"/>
              </w:rPr>
            </w:pPr>
            <w:r>
              <w:rPr>
                <w:rFonts w:ascii="Arial" w:cs="Arial" w:eastAsia="Arial" w:hAnsi="Arial"/>
                <w:sz w:val="14"/>
                <w:szCs w:val="14"/>
                <w:color w:val="auto"/>
              </w:rPr>
              <w:t>—</w:t>
            </w:r>
          </w:p>
        </w:tc>
      </w:tr>
      <w:tr>
        <w:trPr>
          <w:trHeight w:val="202"/>
        </w:trPr>
        <w:tc>
          <w:tcPr>
            <w:tcW w:w="20" w:type="dxa"/>
            <w:vAlign w:val="bottom"/>
            <w:shd w:val="clear" w:color="auto" w:fill="CFF0FC"/>
          </w:tcPr>
          <w:p>
            <w:pPr>
              <w:spacing w:after="0"/>
              <w:rPr>
                <w:sz w:val="17"/>
                <w:szCs w:val="17"/>
                <w:color w:val="auto"/>
              </w:rPr>
            </w:pPr>
          </w:p>
        </w:tc>
        <w:tc>
          <w:tcPr>
            <w:tcW w:w="4900" w:type="dxa"/>
            <w:vAlign w:val="bottom"/>
            <w:gridSpan w:val="3"/>
            <w:shd w:val="clear" w:color="auto" w:fill="CFF0FC"/>
          </w:tcPr>
          <w:p>
            <w:pPr>
              <w:spacing w:after="0" w:line="201" w:lineRule="exact"/>
              <w:rPr>
                <w:sz w:val="20"/>
                <w:szCs w:val="20"/>
                <w:color w:val="auto"/>
              </w:rPr>
            </w:pPr>
            <w:r>
              <w:rPr>
                <w:rFonts w:ascii="Arial" w:cs="Arial" w:eastAsia="Arial" w:hAnsi="Arial"/>
                <w:sz w:val="14"/>
                <w:szCs w:val="14"/>
                <w:color w:val="auto"/>
              </w:rPr>
              <w:t>Commercial and corporate obligations</w:t>
            </w:r>
            <w:r>
              <w:rPr>
                <w:rFonts w:ascii="Arial" w:cs="Arial" w:eastAsia="Arial" w:hAnsi="Arial"/>
                <w:sz w:val="18"/>
                <w:szCs w:val="18"/>
                <w:color w:val="auto"/>
                <w:vertAlign w:val="superscript"/>
              </w:rPr>
              <w:t>(1)(2)</w:t>
            </w:r>
          </w:p>
        </w:tc>
        <w:tc>
          <w:tcPr>
            <w:tcW w:w="96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55,088</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55,088</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ind w:left="1040"/>
              <w:spacing w:after="0"/>
              <w:rPr>
                <w:sz w:val="20"/>
                <w:szCs w:val="20"/>
                <w:color w:val="auto"/>
              </w:rPr>
            </w:pPr>
            <w:r>
              <w:rPr>
                <w:rFonts w:ascii="Arial" w:cs="Arial" w:eastAsia="Arial" w:hAnsi="Arial"/>
                <w:sz w:val="14"/>
                <w:szCs w:val="14"/>
                <w:color w:val="auto"/>
              </w:rPr>
              <w:t>—</w:t>
            </w:r>
          </w:p>
        </w:tc>
      </w:tr>
      <w:tr>
        <w:trPr>
          <w:trHeight w:val="154"/>
        </w:trPr>
        <w:tc>
          <w:tcPr>
            <w:tcW w:w="20" w:type="dxa"/>
            <w:vAlign w:val="bottom"/>
          </w:tcPr>
          <w:p>
            <w:pPr>
              <w:spacing w:after="0"/>
              <w:rPr>
                <w:sz w:val="13"/>
                <w:szCs w:val="13"/>
                <w:color w:val="auto"/>
              </w:rPr>
            </w:pPr>
          </w:p>
        </w:tc>
        <w:tc>
          <w:tcPr>
            <w:tcW w:w="4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At December 31, 2021</w:t>
            </w: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08"/>
        </w:trPr>
        <w:tc>
          <w:tcPr>
            <w:tcW w:w="20" w:type="dxa"/>
            <w:vAlign w:val="bottom"/>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color w:val="auto"/>
                <w:w w:val="91"/>
              </w:rPr>
              <w:t>Money market funds</w:t>
            </w:r>
            <w:r>
              <w:rPr>
                <w:rFonts w:ascii="Arial" w:cs="Arial" w:eastAsia="Arial" w:hAnsi="Arial"/>
                <w:sz w:val="18"/>
                <w:szCs w:val="18"/>
                <w:color w:val="auto"/>
                <w:w w:val="91"/>
                <w:vertAlign w:val="superscript"/>
              </w:rPr>
              <w:t>(1)</w:t>
            </w:r>
          </w:p>
        </w:tc>
        <w:tc>
          <w:tcPr>
            <w:tcW w:w="3580" w:type="dxa"/>
            <w:vAlign w:val="bottom"/>
            <w:gridSpan w:val="2"/>
            <w:shd w:val="clear" w:color="auto" w:fill="CFF0FC"/>
          </w:tcPr>
          <w:p>
            <w:pPr>
              <w:spacing w:after="0"/>
              <w:rPr>
                <w:sz w:val="18"/>
                <w:szCs w:val="18"/>
                <w:color w:val="auto"/>
              </w:rPr>
            </w:pPr>
          </w:p>
        </w:tc>
        <w:tc>
          <w:tcPr>
            <w:tcW w:w="960" w:type="dxa"/>
            <w:vAlign w:val="bottom"/>
            <w:shd w:val="clear" w:color="auto" w:fill="CFF0FC"/>
          </w:tcPr>
          <w:p>
            <w:pPr>
              <w:jc w:val="right"/>
              <w:ind w:right="796"/>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4"/>
              </w:rPr>
              <w:t>445,647</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445,647</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9"/>
              <w:spacing w:after="0"/>
              <w:rPr>
                <w:sz w:val="20"/>
                <w:szCs w:val="20"/>
                <w:color w:val="auto"/>
              </w:rPr>
            </w:pPr>
            <w:r>
              <w:rPr>
                <w:rFonts w:ascii="Arial" w:cs="Arial" w:eastAsia="Arial" w:hAnsi="Arial"/>
                <w:sz w:val="14"/>
                <w:szCs w:val="14"/>
                <w:color w:val="auto"/>
                <w:w w:val="76"/>
              </w:rPr>
              <w:t>$</w:t>
            </w: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jc w:val="right"/>
              <w:ind w:right="10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FF0FC"/>
          </w:tcPr>
          <w:p>
            <w:pPr>
              <w:ind w:left="1040"/>
              <w:spacing w:after="0"/>
              <w:rPr>
                <w:sz w:val="20"/>
                <w:szCs w:val="20"/>
                <w:color w:val="auto"/>
              </w:rPr>
            </w:pPr>
            <w:r>
              <w:rPr>
                <w:rFonts w:ascii="Arial" w:cs="Arial" w:eastAsia="Arial" w:hAnsi="Arial"/>
                <w:sz w:val="14"/>
                <w:szCs w:val="14"/>
                <w:color w:val="auto"/>
              </w:rPr>
              <w:t>—</w:t>
            </w:r>
          </w:p>
        </w:tc>
      </w:tr>
      <w:tr>
        <w:trPr>
          <w:trHeight w:val="202"/>
        </w:trPr>
        <w:tc>
          <w:tcPr>
            <w:tcW w:w="20" w:type="dxa"/>
            <w:vAlign w:val="bottom"/>
          </w:tcPr>
          <w:p>
            <w:pPr>
              <w:spacing w:after="0"/>
              <w:rPr>
                <w:sz w:val="17"/>
                <w:szCs w:val="17"/>
                <w:color w:val="auto"/>
              </w:rPr>
            </w:pPr>
          </w:p>
        </w:tc>
        <w:tc>
          <w:tcPr>
            <w:tcW w:w="4900" w:type="dxa"/>
            <w:vAlign w:val="bottom"/>
            <w:gridSpan w:val="3"/>
          </w:tcPr>
          <w:p>
            <w:pPr>
              <w:spacing w:after="0" w:line="201" w:lineRule="exact"/>
              <w:rPr>
                <w:sz w:val="20"/>
                <w:szCs w:val="20"/>
                <w:color w:val="auto"/>
              </w:rPr>
            </w:pPr>
            <w:r>
              <w:rPr>
                <w:rFonts w:ascii="Arial" w:cs="Arial" w:eastAsia="Arial" w:hAnsi="Arial"/>
                <w:sz w:val="14"/>
                <w:szCs w:val="14"/>
                <w:color w:val="auto"/>
              </w:rPr>
              <w:t>Mutual funds</w:t>
            </w:r>
            <w:r>
              <w:rPr>
                <w:rFonts w:ascii="Arial" w:cs="Arial" w:eastAsia="Arial" w:hAnsi="Arial"/>
                <w:sz w:val="18"/>
                <w:szCs w:val="18"/>
                <w:color w:val="auto"/>
                <w:vertAlign w:val="superscript"/>
              </w:rPr>
              <w:t>(1)</w:t>
            </w:r>
          </w:p>
        </w:tc>
        <w:tc>
          <w:tcPr>
            <w:tcW w:w="9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50,326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50,326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240" w:type="dxa"/>
            <w:vAlign w:val="bottom"/>
          </w:tcPr>
          <w:p>
            <w:pPr>
              <w:ind w:left="1040"/>
              <w:spacing w:after="0"/>
              <w:rPr>
                <w:sz w:val="20"/>
                <w:szCs w:val="20"/>
                <w:color w:val="auto"/>
              </w:rPr>
            </w:pPr>
            <w:r>
              <w:rPr>
                <w:rFonts w:ascii="Arial" w:cs="Arial" w:eastAsia="Arial" w:hAnsi="Arial"/>
                <w:sz w:val="14"/>
                <w:szCs w:val="14"/>
                <w:color w:val="auto"/>
              </w:rPr>
              <w:t>—</w:t>
            </w:r>
          </w:p>
        </w:tc>
      </w:tr>
      <w:tr>
        <w:trPr>
          <w:trHeight w:val="202"/>
        </w:trPr>
        <w:tc>
          <w:tcPr>
            <w:tcW w:w="20" w:type="dxa"/>
            <w:vAlign w:val="bottom"/>
            <w:shd w:val="clear" w:color="auto" w:fill="CFF0FC"/>
          </w:tcPr>
          <w:p>
            <w:pPr>
              <w:spacing w:after="0"/>
              <w:rPr>
                <w:sz w:val="17"/>
                <w:szCs w:val="17"/>
                <w:color w:val="auto"/>
              </w:rPr>
            </w:pPr>
          </w:p>
        </w:tc>
        <w:tc>
          <w:tcPr>
            <w:tcW w:w="4900" w:type="dxa"/>
            <w:vAlign w:val="bottom"/>
            <w:gridSpan w:val="3"/>
            <w:shd w:val="clear" w:color="auto" w:fill="CFF0FC"/>
          </w:tcPr>
          <w:p>
            <w:pPr>
              <w:spacing w:after="0" w:line="201" w:lineRule="exact"/>
              <w:rPr>
                <w:sz w:val="20"/>
                <w:szCs w:val="20"/>
                <w:color w:val="auto"/>
              </w:rPr>
            </w:pPr>
            <w:r>
              <w:rPr>
                <w:rFonts w:ascii="Arial" w:cs="Arial" w:eastAsia="Arial" w:hAnsi="Arial"/>
                <w:sz w:val="14"/>
                <w:szCs w:val="14"/>
                <w:color w:val="auto"/>
              </w:rPr>
              <w:t>U.S. Treasury securities</w:t>
            </w:r>
            <w:r>
              <w:rPr>
                <w:rFonts w:ascii="Arial" w:cs="Arial" w:eastAsia="Arial" w:hAnsi="Arial"/>
                <w:sz w:val="18"/>
                <w:szCs w:val="18"/>
                <w:color w:val="auto"/>
                <w:vertAlign w:val="superscript"/>
              </w:rPr>
              <w:t>(2)</w:t>
            </w:r>
          </w:p>
        </w:tc>
        <w:tc>
          <w:tcPr>
            <w:tcW w:w="96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87,831</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87,831</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ind w:left="1040"/>
              <w:spacing w:after="0"/>
              <w:rPr>
                <w:sz w:val="20"/>
                <w:szCs w:val="20"/>
                <w:color w:val="auto"/>
              </w:rPr>
            </w:pPr>
            <w:r>
              <w:rPr>
                <w:rFonts w:ascii="Arial" w:cs="Arial" w:eastAsia="Arial" w:hAnsi="Arial"/>
                <w:sz w:val="14"/>
                <w:szCs w:val="14"/>
                <w:color w:val="auto"/>
              </w:rPr>
              <w:t>—</w:t>
            </w:r>
          </w:p>
        </w:tc>
      </w:tr>
      <w:tr>
        <w:trPr>
          <w:trHeight w:val="202"/>
        </w:trPr>
        <w:tc>
          <w:tcPr>
            <w:tcW w:w="20" w:type="dxa"/>
            <w:vAlign w:val="bottom"/>
          </w:tcPr>
          <w:p>
            <w:pPr>
              <w:spacing w:after="0"/>
              <w:rPr>
                <w:sz w:val="17"/>
                <w:szCs w:val="17"/>
                <w:color w:val="auto"/>
              </w:rPr>
            </w:pPr>
          </w:p>
        </w:tc>
        <w:tc>
          <w:tcPr>
            <w:tcW w:w="4900" w:type="dxa"/>
            <w:vAlign w:val="bottom"/>
            <w:gridSpan w:val="3"/>
          </w:tcPr>
          <w:p>
            <w:pPr>
              <w:spacing w:after="0" w:line="201" w:lineRule="exact"/>
              <w:rPr>
                <w:sz w:val="20"/>
                <w:szCs w:val="20"/>
                <w:color w:val="auto"/>
              </w:rPr>
            </w:pPr>
            <w:r>
              <w:rPr>
                <w:rFonts w:ascii="Arial" w:cs="Arial" w:eastAsia="Arial" w:hAnsi="Arial"/>
                <w:sz w:val="14"/>
                <w:szCs w:val="14"/>
                <w:color w:val="auto"/>
              </w:rPr>
              <w:t>Certificates of deposit</w:t>
            </w:r>
            <w:r>
              <w:rPr>
                <w:rFonts w:ascii="Arial" w:cs="Arial" w:eastAsia="Arial" w:hAnsi="Arial"/>
                <w:sz w:val="18"/>
                <w:szCs w:val="18"/>
                <w:color w:val="auto"/>
                <w:vertAlign w:val="superscript"/>
              </w:rPr>
              <w:t>(2)</w:t>
            </w:r>
          </w:p>
        </w:tc>
        <w:tc>
          <w:tcPr>
            <w:tcW w:w="9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3,766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3,766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ind w:left="1040"/>
              <w:spacing w:after="0"/>
              <w:rPr>
                <w:sz w:val="20"/>
                <w:szCs w:val="20"/>
                <w:color w:val="auto"/>
              </w:rPr>
            </w:pPr>
            <w:r>
              <w:rPr>
                <w:rFonts w:ascii="Arial" w:cs="Arial" w:eastAsia="Arial" w:hAnsi="Arial"/>
                <w:sz w:val="14"/>
                <w:szCs w:val="14"/>
                <w:color w:val="auto"/>
              </w:rPr>
              <w:t>—</w:t>
            </w:r>
          </w:p>
        </w:tc>
      </w:tr>
      <w:tr>
        <w:trPr>
          <w:trHeight w:val="180"/>
        </w:trPr>
        <w:tc>
          <w:tcPr>
            <w:tcW w:w="20" w:type="dxa"/>
            <w:vAlign w:val="bottom"/>
            <w:shd w:val="clear" w:color="auto" w:fill="CFF0FC"/>
          </w:tcPr>
          <w:p>
            <w:pPr>
              <w:spacing w:after="0"/>
              <w:rPr>
                <w:sz w:val="15"/>
                <w:szCs w:val="15"/>
                <w:color w:val="auto"/>
              </w:rPr>
            </w:pPr>
          </w:p>
        </w:tc>
        <w:tc>
          <w:tcPr>
            <w:tcW w:w="4900" w:type="dxa"/>
            <w:vAlign w:val="bottom"/>
            <w:gridSpan w:val="3"/>
            <w:shd w:val="clear" w:color="auto" w:fill="CFF0FC"/>
          </w:tcPr>
          <w:p>
            <w:pPr>
              <w:ind w:left="20"/>
              <w:spacing w:after="0" w:line="181" w:lineRule="exact"/>
              <w:rPr>
                <w:sz w:val="20"/>
                <w:szCs w:val="20"/>
                <w:color w:val="auto"/>
              </w:rPr>
            </w:pPr>
            <w:r>
              <w:rPr>
                <w:rFonts w:ascii="Arial" w:cs="Arial" w:eastAsia="Arial" w:hAnsi="Arial"/>
                <w:sz w:val="14"/>
                <w:szCs w:val="14"/>
                <w:color w:val="auto"/>
              </w:rPr>
              <w:t>Agency securities</w:t>
            </w:r>
            <w:r>
              <w:rPr>
                <w:rFonts w:ascii="Arial" w:cs="Arial" w:eastAsia="Arial" w:hAnsi="Arial"/>
                <w:sz w:val="18"/>
                <w:szCs w:val="18"/>
                <w:color w:val="auto"/>
                <w:vertAlign w:val="superscript"/>
              </w:rPr>
              <w:t>(2)</w:t>
            </w:r>
          </w:p>
        </w:tc>
        <w:tc>
          <w:tcPr>
            <w:tcW w:w="96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5,814</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5,814</w:t>
            </w: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40" w:type="dxa"/>
            <w:vAlign w:val="bottom"/>
            <w:shd w:val="clear" w:color="auto" w:fill="CFF0FC"/>
          </w:tcPr>
          <w:p>
            <w:pPr>
              <w:ind w:left="1040"/>
              <w:spacing w:after="0"/>
              <w:rPr>
                <w:sz w:val="20"/>
                <w:szCs w:val="20"/>
                <w:color w:val="auto"/>
              </w:rPr>
            </w:pPr>
            <w:r>
              <w:rPr>
                <w:rFonts w:ascii="Arial" w:cs="Arial" w:eastAsia="Arial" w:hAnsi="Arial"/>
                <w:sz w:val="14"/>
                <w:szCs w:val="14"/>
                <w:color w:val="auto"/>
              </w:rPr>
              <w:t>—</w:t>
            </w:r>
          </w:p>
        </w:tc>
      </w:tr>
      <w:tr>
        <w:trPr>
          <w:trHeight w:val="244"/>
        </w:trPr>
        <w:tc>
          <w:tcPr>
            <w:tcW w:w="20" w:type="dxa"/>
            <w:vAlign w:val="bottom"/>
          </w:tcPr>
          <w:p>
            <w:pPr>
              <w:spacing w:after="0"/>
              <w:rPr>
                <w:sz w:val="21"/>
                <w:szCs w:val="21"/>
                <w:color w:val="auto"/>
              </w:rPr>
            </w:pPr>
          </w:p>
        </w:tc>
        <w:tc>
          <w:tcPr>
            <w:tcW w:w="4900" w:type="dxa"/>
            <w:vAlign w:val="bottom"/>
            <w:gridSpan w:val="3"/>
          </w:tcPr>
          <w:p>
            <w:pPr>
              <w:spacing w:after="0"/>
              <w:rPr>
                <w:sz w:val="20"/>
                <w:szCs w:val="20"/>
                <w:color w:val="auto"/>
              </w:rPr>
            </w:pPr>
            <w:r>
              <w:rPr>
                <w:rFonts w:ascii="Arial" w:cs="Arial" w:eastAsia="Arial" w:hAnsi="Arial"/>
                <w:sz w:val="14"/>
                <w:szCs w:val="14"/>
                <w:color w:val="auto"/>
              </w:rPr>
              <w:t>Commercial and corporate obligations</w:t>
            </w:r>
            <w:r>
              <w:rPr>
                <w:rFonts w:ascii="Arial" w:cs="Arial" w:eastAsia="Arial" w:hAnsi="Arial"/>
                <w:sz w:val="18"/>
                <w:szCs w:val="18"/>
                <w:color w:val="auto"/>
                <w:vertAlign w:val="superscript"/>
              </w:rPr>
              <w:t>(2)</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22,054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22,054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ind w:left="1040"/>
              <w:spacing w:after="0"/>
              <w:rPr>
                <w:sz w:val="20"/>
                <w:szCs w:val="20"/>
                <w:color w:val="auto"/>
              </w:rPr>
            </w:pPr>
            <w:r>
              <w:rPr>
                <w:rFonts w:ascii="Arial" w:cs="Arial" w:eastAsia="Arial" w:hAnsi="Arial"/>
                <w:sz w:val="14"/>
                <w:szCs w:val="14"/>
                <w:color w:val="auto"/>
              </w:rPr>
              <w:t>—</w:t>
            </w:r>
          </w:p>
        </w:tc>
      </w:tr>
    </w:tbl>
    <w:p>
      <w:pPr>
        <w:spacing w:after="0" w:line="47" w:lineRule="exact"/>
        <w:rPr>
          <w:sz w:val="20"/>
          <w:szCs w:val="20"/>
          <w:color w:val="auto"/>
        </w:rPr>
      </w:pPr>
    </w:p>
    <w:p>
      <w:pPr>
        <w:ind w:left="220" w:hanging="183"/>
        <w:spacing w:after="0"/>
        <w:tabs>
          <w:tab w:leader="none" w:pos="22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Included in cash and cash equivalents in the accompanying consolidated balance sheets.</w:t>
      </w:r>
    </w:p>
    <w:p>
      <w:pPr>
        <w:spacing w:after="0" w:line="22" w:lineRule="exact"/>
        <w:rPr>
          <w:rFonts w:ascii="Arial" w:cs="Arial" w:eastAsia="Arial" w:hAnsi="Arial"/>
          <w:sz w:val="18"/>
          <w:szCs w:val="18"/>
          <w:color w:val="auto"/>
          <w:vertAlign w:val="superscript"/>
        </w:rPr>
      </w:pPr>
    </w:p>
    <w:p>
      <w:pPr>
        <w:ind w:left="240" w:hanging="203"/>
        <w:spacing w:after="0" w:line="194" w:lineRule="auto"/>
        <w:tabs>
          <w:tab w:leader="none" w:pos="2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Included in short-term or long-term investments in the accompanying consolidated balance sheets depending on the respective maturity date.</w:t>
      </w:r>
    </w:p>
    <w:p>
      <w:pPr>
        <w:spacing w:after="0" w:line="7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methods and assumptions were used to estimate the fair value of our financial instruments for which it is practicable to estimate that value:</w:t>
      </w:r>
    </w:p>
    <w:p>
      <w:pPr>
        <w:spacing w:after="0" w:line="94" w:lineRule="exact"/>
        <w:rPr>
          <w:sz w:val="20"/>
          <w:szCs w:val="20"/>
          <w:color w:val="auto"/>
        </w:rPr>
      </w:pPr>
    </w:p>
    <w:p>
      <w:pPr>
        <w:ind w:firstLine="382"/>
        <w:spacing w:after="0" w:line="267" w:lineRule="auto"/>
        <w:rPr>
          <w:sz w:val="20"/>
          <w:szCs w:val="20"/>
          <w:color w:val="auto"/>
        </w:rPr>
      </w:pPr>
      <w:r>
        <w:rPr>
          <w:rFonts w:ascii="Arial" w:cs="Arial" w:eastAsia="Arial" w:hAnsi="Arial"/>
          <w:sz w:val="14"/>
          <w:szCs w:val="14"/>
          <w:i w:val="1"/>
          <w:iCs w:val="1"/>
          <w:color w:val="auto"/>
        </w:rPr>
        <w:t xml:space="preserve">Marketable Securities. </w:t>
      </w:r>
      <w:r>
        <w:rPr>
          <w:rFonts w:ascii="Arial" w:cs="Arial" w:eastAsia="Arial" w:hAnsi="Arial"/>
          <w:sz w:val="14"/>
          <w:szCs w:val="14"/>
          <w:color w:val="auto"/>
        </w:rPr>
        <w:t>For fair values determined by Level 1 inputs, which utilize quoted prices in active markets for identical assets, the level of judgment required to estimate fair value is</w:t>
      </w:r>
      <w:r>
        <w:rPr>
          <w:rFonts w:ascii="Arial" w:cs="Arial" w:eastAsia="Arial" w:hAnsi="Arial"/>
          <w:sz w:val="14"/>
          <w:szCs w:val="14"/>
          <w:i w:val="1"/>
          <w:iCs w:val="1"/>
          <w:color w:val="auto"/>
        </w:rPr>
        <w:t xml:space="preserve"> </w:t>
      </w:r>
      <w:r>
        <w:rPr>
          <w:rFonts w:ascii="Arial" w:cs="Arial" w:eastAsia="Arial" w:hAnsi="Arial"/>
          <w:sz w:val="14"/>
          <w:szCs w:val="14"/>
          <w:color w:val="auto"/>
        </w:rPr>
        <w:t>relatively low. For fair values determined by Level 2 inputs, which utilize quoted prices in less active markets for similar assets, the level of judgment required to estimate fair value is also considered relatively low.</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Fair Value of Other Financial Instruments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 carrying amounts of certain of our financial instruments, including cash and cash equivalents, accounts payable, and accrued expenses approximate fair value due to their short-term</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402" w:right="339" w:bottom="1440" w:gutter="0" w:footer="0" w:header="0"/>
        </w:sectPr>
      </w:pPr>
    </w:p>
    <w:bookmarkStart w:id="17" w:name="page18"/>
    <w:bookmarkEnd w:id="17"/>
    <w:p>
      <w:pPr>
        <w:ind w:left="200"/>
        <w:spacing w:after="0"/>
        <w:rPr>
          <w:sz w:val="20"/>
          <w:szCs w:val="20"/>
          <w:color w:val="auto"/>
        </w:rPr>
      </w:pPr>
      <w:r>
        <w:rPr>
          <w:rFonts w:ascii="Arial" w:cs="Arial" w:eastAsia="Arial" w:hAnsi="Arial"/>
          <w:sz w:val="14"/>
          <w:szCs w:val="14"/>
          <w:b w:val="1"/>
          <w:bCs w:val="1"/>
          <w:i w:val="1"/>
          <w:iCs w:val="1"/>
          <w:color w:val="auto"/>
        </w:rPr>
        <w:t>Available for Sale Investments</w:t>
      </w:r>
    </w:p>
    <w:p>
      <w:pPr>
        <w:spacing w:after="0" w:line="94" w:lineRule="exact"/>
        <w:rPr>
          <w:sz w:val="20"/>
          <w:szCs w:val="20"/>
          <w:color w:val="auto"/>
        </w:rPr>
      </w:pPr>
    </w:p>
    <w:p>
      <w:pPr>
        <w:jc w:val="both"/>
        <w:ind w:right="20" w:firstLine="382"/>
        <w:spacing w:after="0" w:line="297" w:lineRule="auto"/>
        <w:rPr>
          <w:sz w:val="20"/>
          <w:szCs w:val="20"/>
          <w:color w:val="auto"/>
        </w:rPr>
      </w:pPr>
      <w:r>
        <w:rPr>
          <w:rFonts w:ascii="Arial" w:cs="Arial" w:eastAsia="Arial" w:hAnsi="Arial"/>
          <w:sz w:val="13"/>
          <w:szCs w:val="13"/>
          <w:color w:val="auto"/>
        </w:rPr>
        <w:t>We invest our excess cash in agency securities, debt instruments of financial institutions and corporations, commercial obligations, and U.S. Treasury securities, which we classify as available for sale investments. These investments are carried at fair value and are included in the tables above. The aggregate market value, cost basis, and gross unrealized gains and losses of available for sale investments by security type, classified in cash equivalents, short-term and long-term investments as of September 30, 2022 are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3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thousands)</w:t>
            </w:r>
          </w:p>
        </w:tc>
        <w:tc>
          <w:tcPr>
            <w:tcW w:w="280" w:type="dxa"/>
            <w:vAlign w:val="bottom"/>
          </w:tcPr>
          <w:p>
            <w:pPr>
              <w:spacing w:after="0"/>
              <w:rPr>
                <w:sz w:val="10"/>
                <w:szCs w:val="1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6"/>
              </w:rPr>
              <w:t>Amortized</w:t>
            </w:r>
          </w:p>
        </w:tc>
        <w:tc>
          <w:tcPr>
            <w:tcW w:w="200" w:type="dxa"/>
            <w:vAlign w:val="bottom"/>
          </w:tcPr>
          <w:p>
            <w:pPr>
              <w:spacing w:after="0"/>
              <w:rPr>
                <w:sz w:val="10"/>
                <w:szCs w:val="1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7"/>
              </w:rPr>
              <w:t>Gross</w:t>
            </w:r>
          </w:p>
        </w:tc>
        <w:tc>
          <w:tcPr>
            <w:tcW w:w="180" w:type="dxa"/>
            <w:vAlign w:val="bottom"/>
          </w:tcPr>
          <w:p>
            <w:pPr>
              <w:spacing w:after="0"/>
              <w:rPr>
                <w:sz w:val="10"/>
                <w:szCs w:val="1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7"/>
              </w:rPr>
              <w:t>Gross</w:t>
            </w:r>
          </w:p>
        </w:tc>
        <w:tc>
          <w:tcPr>
            <w:tcW w:w="280" w:type="dxa"/>
            <w:vAlign w:val="bottom"/>
          </w:tcPr>
          <w:p>
            <w:pPr>
              <w:spacing w:after="0"/>
              <w:rPr>
                <w:sz w:val="10"/>
                <w:szCs w:val="10"/>
                <w:color w:val="auto"/>
              </w:rPr>
            </w:pPr>
          </w:p>
        </w:tc>
        <w:tc>
          <w:tcPr>
            <w:tcW w:w="1140" w:type="dxa"/>
            <w:vAlign w:val="bottom"/>
          </w:tcPr>
          <w:p>
            <w:pPr>
              <w:jc w:val="right"/>
              <w:ind w:right="51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3"/>
        </w:trPr>
        <w:tc>
          <w:tcPr>
            <w:tcW w:w="53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89"/>
              </w:rPr>
              <w:t>Cost</w:t>
            </w:r>
          </w:p>
        </w:tc>
        <w:tc>
          <w:tcPr>
            <w:tcW w:w="20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4"/>
              </w:rPr>
              <w:t>Unrealized Gains</w:t>
            </w:r>
          </w:p>
        </w:tc>
        <w:tc>
          <w:tcPr>
            <w:tcW w:w="180" w:type="dxa"/>
            <w:vAlign w:val="bottom"/>
          </w:tcPr>
          <w:p>
            <w:pPr>
              <w:spacing w:after="0"/>
              <w:rPr>
                <w:sz w:val="13"/>
                <w:szCs w:val="13"/>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8"/>
              </w:rPr>
              <w:t>Unrealized Losses</w:t>
            </w:r>
          </w:p>
        </w:tc>
        <w:tc>
          <w:tcPr>
            <w:tcW w:w="280" w:type="dxa"/>
            <w:vAlign w:val="bottom"/>
          </w:tcPr>
          <w:p>
            <w:pPr>
              <w:spacing w:after="0"/>
              <w:rPr>
                <w:sz w:val="13"/>
                <w:szCs w:val="13"/>
                <w:color w:val="auto"/>
              </w:rPr>
            </w:pPr>
          </w:p>
        </w:tc>
        <w:tc>
          <w:tcPr>
            <w:tcW w:w="1140" w:type="dxa"/>
            <w:vAlign w:val="bottom"/>
          </w:tcPr>
          <w:p>
            <w:pPr>
              <w:jc w:val="right"/>
              <w:ind w:right="393"/>
              <w:spacing w:after="0"/>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177"/>
        </w:trPr>
        <w:tc>
          <w:tcPr>
            <w:tcW w:w="5300" w:type="dxa"/>
            <w:vAlign w:val="bottom"/>
            <w:tcBorders>
              <w:top w:val="single" w:sz="8" w:color="CCEEFF"/>
            </w:tcBorders>
            <w:shd w:val="clear" w:color="auto" w:fill="CCEEFF"/>
          </w:tcPr>
          <w:p>
            <w:pPr>
              <w:ind w:left="20"/>
              <w:spacing w:after="0" w:line="177" w:lineRule="exact"/>
              <w:rPr>
                <w:sz w:val="20"/>
                <w:szCs w:val="20"/>
                <w:color w:val="auto"/>
              </w:rPr>
            </w:pPr>
            <w:r>
              <w:rPr>
                <w:rFonts w:ascii="Arial" w:cs="Arial" w:eastAsia="Arial" w:hAnsi="Arial"/>
                <w:sz w:val="14"/>
                <w:szCs w:val="14"/>
                <w:color w:val="auto"/>
              </w:rPr>
              <w:t>Agency securities</w:t>
            </w:r>
            <w:r>
              <w:rPr>
                <w:rFonts w:ascii="Arial" w:cs="Arial" w:eastAsia="Arial" w:hAnsi="Arial"/>
                <w:sz w:val="18"/>
                <w:szCs w:val="18"/>
                <w:color w:val="auto"/>
                <w:vertAlign w:val="superscript"/>
              </w:rPr>
              <w:t>(1)</w:t>
            </w: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60,174</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(955)</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59,223</w:t>
            </w:r>
          </w:p>
        </w:tc>
        <w:tc>
          <w:tcPr>
            <w:tcW w:w="0" w:type="dxa"/>
            <w:vAlign w:val="bottom"/>
          </w:tcPr>
          <w:p>
            <w:pPr>
              <w:spacing w:after="0"/>
              <w:rPr>
                <w:sz w:val="1"/>
                <w:szCs w:val="1"/>
                <w:color w:val="auto"/>
              </w:rPr>
            </w:pPr>
          </w:p>
        </w:tc>
      </w:tr>
      <w:tr>
        <w:trPr>
          <w:trHeight w:val="180"/>
        </w:trPr>
        <w:tc>
          <w:tcPr>
            <w:tcW w:w="5300" w:type="dxa"/>
            <w:vAlign w:val="bottom"/>
          </w:tcPr>
          <w:p>
            <w:pPr>
              <w:ind w:left="20"/>
              <w:spacing w:after="0" w:line="181" w:lineRule="exact"/>
              <w:rPr>
                <w:sz w:val="20"/>
                <w:szCs w:val="20"/>
                <w:color w:val="auto"/>
              </w:rPr>
            </w:pPr>
            <w:r>
              <w:rPr>
                <w:rFonts w:ascii="Arial" w:cs="Arial" w:eastAsia="Arial" w:hAnsi="Arial"/>
                <w:sz w:val="14"/>
                <w:szCs w:val="14"/>
                <w:color w:val="auto"/>
              </w:rPr>
              <w:t>Certificates of deposit</w:t>
            </w:r>
            <w:r>
              <w:rPr>
                <w:rFonts w:ascii="Arial" w:cs="Arial" w:eastAsia="Arial" w:hAnsi="Arial"/>
                <w:sz w:val="18"/>
                <w:szCs w:val="18"/>
                <w:color w:val="auto"/>
                <w:vertAlign w:val="superscript"/>
              </w:rPr>
              <w:t>(2)</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2,920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2,845</w:t>
            </w:r>
          </w:p>
        </w:tc>
        <w:tc>
          <w:tcPr>
            <w:tcW w:w="0" w:type="dxa"/>
            <w:vAlign w:val="bottom"/>
          </w:tcPr>
          <w:p>
            <w:pPr>
              <w:spacing w:after="0"/>
              <w:rPr>
                <w:sz w:val="1"/>
                <w:szCs w:val="1"/>
                <w:color w:val="auto"/>
              </w:rPr>
            </w:pPr>
          </w:p>
        </w:tc>
      </w:tr>
      <w:tr>
        <w:trPr>
          <w:trHeight w:val="180"/>
        </w:trPr>
        <w:tc>
          <w:tcPr>
            <w:tcW w:w="530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Commercial and corporate obligations</w:t>
            </w:r>
            <w:r>
              <w:rPr>
                <w:rFonts w:ascii="Arial" w:cs="Arial" w:eastAsia="Arial" w:hAnsi="Arial"/>
                <w:sz w:val="18"/>
                <w:szCs w:val="18"/>
                <w:color w:val="auto"/>
                <w:vertAlign w:val="superscript"/>
              </w:rPr>
              <w:t>(3)</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56,140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55,088</w:t>
            </w:r>
          </w:p>
        </w:tc>
        <w:tc>
          <w:tcPr>
            <w:tcW w:w="0" w:type="dxa"/>
            <w:vAlign w:val="bottom"/>
          </w:tcPr>
          <w:p>
            <w:pPr>
              <w:spacing w:after="0"/>
              <w:rPr>
                <w:sz w:val="1"/>
                <w:szCs w:val="1"/>
                <w:color w:val="auto"/>
              </w:rPr>
            </w:pPr>
          </w:p>
        </w:tc>
      </w:tr>
      <w:tr>
        <w:trPr>
          <w:trHeight w:val="180"/>
        </w:trPr>
        <w:tc>
          <w:tcPr>
            <w:tcW w:w="5300" w:type="dxa"/>
            <w:vAlign w:val="bottom"/>
            <w:tcBorders>
              <w:bottom w:val="single" w:sz="8" w:color="CCEEFF"/>
            </w:tcBorders>
          </w:tcPr>
          <w:p>
            <w:pPr>
              <w:ind w:left="20"/>
              <w:spacing w:after="0" w:line="181" w:lineRule="exact"/>
              <w:rPr>
                <w:sz w:val="20"/>
                <w:szCs w:val="20"/>
                <w:color w:val="auto"/>
              </w:rPr>
            </w:pPr>
            <w:r>
              <w:rPr>
                <w:rFonts w:ascii="Arial" w:cs="Arial" w:eastAsia="Arial" w:hAnsi="Arial"/>
                <w:sz w:val="14"/>
                <w:szCs w:val="14"/>
                <w:color w:val="auto"/>
              </w:rPr>
              <w:t>U.S. Treasury securities</w:t>
            </w:r>
            <w:r>
              <w:rPr>
                <w:rFonts w:ascii="Arial" w:cs="Arial" w:eastAsia="Arial" w:hAnsi="Arial"/>
                <w:sz w:val="18"/>
                <w:szCs w:val="18"/>
                <w:color w:val="auto"/>
                <w:vertAlign w:val="superscript"/>
              </w:rPr>
              <w:t>(4)</w:t>
            </w: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418,496</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414,774</w:t>
            </w:r>
          </w:p>
        </w:tc>
        <w:tc>
          <w:tcPr>
            <w:tcW w:w="0" w:type="dxa"/>
            <w:vAlign w:val="bottom"/>
          </w:tcPr>
          <w:p>
            <w:pPr>
              <w:spacing w:after="0"/>
              <w:rPr>
                <w:sz w:val="1"/>
                <w:szCs w:val="1"/>
                <w:color w:val="auto"/>
              </w:rPr>
            </w:pPr>
          </w:p>
        </w:tc>
      </w:tr>
      <w:tr>
        <w:trPr>
          <w:trHeight w:val="196"/>
        </w:trPr>
        <w:tc>
          <w:tcPr>
            <w:tcW w:w="5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available for sale investments</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537,730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(5,805)</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531,930</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6201410</wp:posOffset>
            </wp:positionH>
            <wp:positionV relativeFrom="paragraph">
              <wp:posOffset>-26035</wp:posOffset>
            </wp:positionV>
            <wp:extent cx="6032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6985"/>
                    </a:xfrm>
                    <a:prstGeom prst="rect">
                      <a:avLst/>
                    </a:prstGeom>
                    <a:noFill/>
                  </pic:spPr>
                </pic:pic>
              </a:graphicData>
            </a:graphic>
          </wp:anchor>
        </w:drawing>
        <w:drawing>
          <wp:anchor simplePos="0" relativeHeight="251657728" behindDoc="1" locked="0" layoutInCell="0" allowOverlap="1">
            <wp:simplePos x="0" y="0"/>
            <wp:positionH relativeFrom="column">
              <wp:posOffset>5238115</wp:posOffset>
            </wp:positionH>
            <wp:positionV relativeFrom="paragraph">
              <wp:posOffset>-26035</wp:posOffset>
            </wp:positionV>
            <wp:extent cx="6032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-26035</wp:posOffset>
            </wp:positionV>
            <wp:extent cx="433197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331970" cy="6985"/>
                    </a:xfrm>
                    <a:prstGeom prst="rect">
                      <a:avLst/>
                    </a:prstGeom>
                    <a:noFill/>
                  </pic:spPr>
                </pic:pic>
              </a:graphicData>
            </a:graphic>
          </wp:anchor>
        </w:drawing>
        <w:drawing>
          <wp:anchor simplePos="0" relativeHeight="251657728" behindDoc="1" locked="0" layoutInCell="0" allowOverlap="1">
            <wp:simplePos x="0" y="0"/>
            <wp:positionH relativeFrom="column">
              <wp:posOffset>6201410</wp:posOffset>
            </wp:positionH>
            <wp:positionV relativeFrom="paragraph">
              <wp:posOffset>-147320</wp:posOffset>
            </wp:positionV>
            <wp:extent cx="6032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6985"/>
                    </a:xfrm>
                    <a:prstGeom prst="rect">
                      <a:avLst/>
                    </a:prstGeom>
                    <a:noFill/>
                  </pic:spPr>
                </pic:pic>
              </a:graphicData>
            </a:graphic>
          </wp:anchor>
        </w:drawing>
        <w:drawing>
          <wp:anchor simplePos="0" relativeHeight="251657728" behindDoc="1" locked="0" layoutInCell="0" allowOverlap="1">
            <wp:simplePos x="0" y="0"/>
            <wp:positionH relativeFrom="column">
              <wp:posOffset>5238115</wp:posOffset>
            </wp:positionH>
            <wp:positionV relativeFrom="paragraph">
              <wp:posOffset>-147320</wp:posOffset>
            </wp:positionV>
            <wp:extent cx="6032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32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-262255</wp:posOffset>
            </wp:positionV>
            <wp:extent cx="4331970" cy="1212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331970" cy="121285"/>
                    </a:xfrm>
                    <a:prstGeom prst="rect">
                      <a:avLst/>
                    </a:prstGeom>
                    <a:noFill/>
                  </pic:spPr>
                </pic:pic>
              </a:graphicData>
            </a:graphic>
          </wp:anchor>
        </w:drawing>
      </w:r>
    </w:p>
    <w:p>
      <w:pPr>
        <w:spacing w:after="0" w:line="49" w:lineRule="exact"/>
        <w:rPr>
          <w:sz w:val="20"/>
          <w:szCs w:val="20"/>
          <w:color w:val="auto"/>
        </w:rPr>
      </w:pPr>
    </w:p>
    <w:p>
      <w:pPr>
        <w:ind w:left="220" w:hanging="183"/>
        <w:spacing w:after="0"/>
        <w:tabs>
          <w:tab w:leader="none" w:pos="220" w:val="left"/>
        </w:tabs>
        <w:numPr>
          <w:ilvl w:val="0"/>
          <w:numId w:val="7"/>
        </w:numPr>
        <w:rPr>
          <w:rFonts w:ascii="Arial" w:cs="Arial" w:eastAsia="Arial" w:hAnsi="Arial"/>
          <w:sz w:val="17"/>
          <w:szCs w:val="17"/>
          <w:color w:val="auto"/>
          <w:vertAlign w:val="superscript"/>
        </w:rPr>
      </w:pPr>
      <w:r>
        <w:rPr>
          <w:rFonts w:ascii="Arial" w:cs="Arial" w:eastAsia="Arial" w:hAnsi="Arial"/>
          <w:sz w:val="13"/>
          <w:szCs w:val="13"/>
          <w:color w:val="auto"/>
        </w:rPr>
        <w:t>Of our outstanding agency securities, $40.3 million have maturity dates of less than one year and $18.9 million have maturity dates between one to two years as of September 30, 2022.</w:t>
      </w:r>
    </w:p>
    <w:p>
      <w:pPr>
        <w:spacing w:after="0" w:line="33" w:lineRule="exact"/>
        <w:rPr>
          <w:rFonts w:ascii="Arial" w:cs="Arial" w:eastAsia="Arial" w:hAnsi="Arial"/>
          <w:sz w:val="17"/>
          <w:szCs w:val="17"/>
          <w:color w:val="auto"/>
          <w:vertAlign w:val="superscript"/>
        </w:rPr>
      </w:pPr>
    </w:p>
    <w:p>
      <w:pPr>
        <w:ind w:left="240" w:hanging="203"/>
        <w:spacing w:after="0" w:line="206" w:lineRule="auto"/>
        <w:tabs>
          <w:tab w:leader="none" w:pos="240" w:val="left"/>
        </w:tabs>
        <w:numPr>
          <w:ilvl w:val="0"/>
          <w:numId w:val="7"/>
        </w:numPr>
        <w:rPr>
          <w:rFonts w:ascii="Arial" w:cs="Arial" w:eastAsia="Arial" w:hAnsi="Arial"/>
          <w:sz w:val="17"/>
          <w:szCs w:val="17"/>
          <w:color w:val="auto"/>
          <w:vertAlign w:val="superscript"/>
        </w:rPr>
      </w:pPr>
      <w:r>
        <w:rPr>
          <w:rFonts w:ascii="Arial" w:cs="Arial" w:eastAsia="Arial" w:hAnsi="Arial"/>
          <w:sz w:val="13"/>
          <w:szCs w:val="13"/>
          <w:color w:val="auto"/>
        </w:rPr>
        <w:t>Of our outstanding certificates of deposit, $2.1 million have maturity dates of less than one year and $0.7 million have a maturity date of between one to two years as of September 30, 2022.</w:t>
      </w:r>
    </w:p>
    <w:p>
      <w:pPr>
        <w:spacing w:after="0" w:line="23" w:lineRule="exact"/>
        <w:rPr>
          <w:rFonts w:ascii="Arial" w:cs="Arial" w:eastAsia="Arial" w:hAnsi="Arial"/>
          <w:sz w:val="17"/>
          <w:szCs w:val="17"/>
          <w:color w:val="auto"/>
          <w:vertAlign w:val="superscript"/>
        </w:rPr>
      </w:pPr>
    </w:p>
    <w:p>
      <w:pPr>
        <w:ind w:left="360" w:right="480" w:hanging="323"/>
        <w:spacing w:after="0" w:line="220" w:lineRule="auto"/>
        <w:tabs>
          <w:tab w:leader="none" w:pos="24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Of our outstanding commercial and corporate obligations, $30.7 million have maturity dates of less than one year and $24.4 million have a maturity date of between one to two years as of September 30, 2022.</w:t>
      </w:r>
    </w:p>
    <w:p>
      <w:pPr>
        <w:spacing w:after="0" w:line="22" w:lineRule="exact"/>
        <w:rPr>
          <w:rFonts w:ascii="Arial" w:cs="Arial" w:eastAsia="Arial" w:hAnsi="Arial"/>
          <w:sz w:val="18"/>
          <w:szCs w:val="18"/>
          <w:color w:val="auto"/>
          <w:vertAlign w:val="superscript"/>
        </w:rPr>
      </w:pPr>
    </w:p>
    <w:p>
      <w:pPr>
        <w:ind w:left="360" w:right="280" w:hanging="323"/>
        <w:spacing w:after="0" w:line="228" w:lineRule="auto"/>
        <w:tabs>
          <w:tab w:leader="none" w:pos="227"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Of our outstanding U.S. Treasury securities, $311.3 million have maturity dates of less than one year and $103.5 million have a maturity date of between one to two years as of September 30, 2022.</w:t>
      </w:r>
    </w:p>
    <w:p>
      <w:pPr>
        <w:spacing w:after="0" w:line="160"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The aggregate market value, cost basis, and gross unrealized gains and losses of available for sale investments by security type, classified in short-term and long-term investments as of</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2021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2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thousands)</w:t>
            </w:r>
          </w:p>
        </w:tc>
        <w:tc>
          <w:tcPr>
            <w:tcW w:w="280" w:type="dxa"/>
            <w:vAlign w:val="bottom"/>
          </w:tcPr>
          <w:p>
            <w:pPr>
              <w:spacing w:after="0"/>
              <w:rPr>
                <w:sz w:val="10"/>
                <w:szCs w:val="1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96"/>
              </w:rPr>
              <w:t>Amortized</w:t>
            </w:r>
          </w:p>
        </w:tc>
        <w:tc>
          <w:tcPr>
            <w:tcW w:w="180" w:type="dxa"/>
            <w:vAlign w:val="bottom"/>
          </w:tcPr>
          <w:p>
            <w:pPr>
              <w:spacing w:after="0"/>
              <w:rPr>
                <w:sz w:val="10"/>
                <w:szCs w:val="1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4"/>
              </w:rPr>
              <w:t>Gross</w:t>
            </w:r>
          </w:p>
        </w:tc>
        <w:tc>
          <w:tcPr>
            <w:tcW w:w="180" w:type="dxa"/>
            <w:vAlign w:val="bottom"/>
          </w:tcPr>
          <w:p>
            <w:pPr>
              <w:spacing w:after="0"/>
              <w:rPr>
                <w:sz w:val="10"/>
                <w:szCs w:val="1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7"/>
              </w:rPr>
              <w:t>Gross</w:t>
            </w:r>
          </w:p>
        </w:tc>
        <w:tc>
          <w:tcPr>
            <w:tcW w:w="280" w:type="dxa"/>
            <w:vAlign w:val="bottom"/>
          </w:tcPr>
          <w:p>
            <w:pPr>
              <w:spacing w:after="0"/>
              <w:rPr>
                <w:sz w:val="10"/>
                <w:szCs w:val="10"/>
                <w:color w:val="auto"/>
              </w:rPr>
            </w:pPr>
          </w:p>
        </w:tc>
        <w:tc>
          <w:tcPr>
            <w:tcW w:w="1160" w:type="dxa"/>
            <w:vAlign w:val="bottom"/>
          </w:tcPr>
          <w:p>
            <w:pPr>
              <w:jc w:val="right"/>
              <w:ind w:right="53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1"/>
        </w:trPr>
        <w:tc>
          <w:tcPr>
            <w:tcW w:w="524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89"/>
              </w:rPr>
              <w:t>Cost</w:t>
            </w:r>
          </w:p>
        </w:tc>
        <w:tc>
          <w:tcPr>
            <w:tcW w:w="180" w:type="dxa"/>
            <w:vAlign w:val="bottom"/>
          </w:tcPr>
          <w:p>
            <w:pPr>
              <w:spacing w:after="0"/>
              <w:rPr>
                <w:sz w:val="13"/>
                <w:szCs w:val="13"/>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1"/>
              </w:rPr>
              <w:t>Unrealized Gains</w:t>
            </w:r>
          </w:p>
        </w:tc>
        <w:tc>
          <w:tcPr>
            <w:tcW w:w="180" w:type="dxa"/>
            <w:vAlign w:val="bottom"/>
          </w:tcPr>
          <w:p>
            <w:pPr>
              <w:spacing w:after="0"/>
              <w:rPr>
                <w:sz w:val="13"/>
                <w:szCs w:val="13"/>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Unrealized Losses</w:t>
            </w:r>
          </w:p>
        </w:tc>
        <w:tc>
          <w:tcPr>
            <w:tcW w:w="280" w:type="dxa"/>
            <w:vAlign w:val="bottom"/>
          </w:tcPr>
          <w:p>
            <w:pPr>
              <w:spacing w:after="0"/>
              <w:rPr>
                <w:sz w:val="13"/>
                <w:szCs w:val="13"/>
                <w:color w:val="auto"/>
              </w:rPr>
            </w:pPr>
          </w:p>
        </w:tc>
        <w:tc>
          <w:tcPr>
            <w:tcW w:w="1160" w:type="dxa"/>
            <w:vAlign w:val="bottom"/>
          </w:tcPr>
          <w:p>
            <w:pPr>
              <w:jc w:val="right"/>
              <w:ind w:right="393"/>
              <w:spacing w:after="0"/>
              <w:rPr>
                <w:sz w:val="20"/>
                <w:szCs w:val="20"/>
                <w:color w:val="auto"/>
              </w:rPr>
            </w:pPr>
            <w:r>
              <w:rPr>
                <w:rFonts w:ascii="Arial" w:cs="Arial" w:eastAsia="Arial" w:hAnsi="Arial"/>
                <w:sz w:val="11"/>
                <w:szCs w:val="11"/>
                <w:b w:val="1"/>
                <w:bCs w:val="1"/>
                <w:color w:val="auto"/>
              </w:rPr>
              <w:t>Fair Value</w:t>
            </w:r>
          </w:p>
        </w:tc>
        <w:tc>
          <w:tcPr>
            <w:tcW w:w="0" w:type="dxa"/>
            <w:vAlign w:val="bottom"/>
          </w:tcPr>
          <w:p>
            <w:pPr>
              <w:spacing w:after="0"/>
              <w:rPr>
                <w:sz w:val="1"/>
                <w:szCs w:val="1"/>
                <w:color w:val="auto"/>
              </w:rPr>
            </w:pPr>
          </w:p>
        </w:tc>
      </w:tr>
      <w:tr>
        <w:trPr>
          <w:trHeight w:val="175"/>
        </w:trPr>
        <w:tc>
          <w:tcPr>
            <w:tcW w:w="5240" w:type="dxa"/>
            <w:vAlign w:val="bottom"/>
            <w:tcBorders>
              <w:top w:val="single" w:sz="8" w:color="CCEEFF"/>
            </w:tcBorders>
            <w:shd w:val="clear" w:color="auto" w:fill="CCEEFF"/>
          </w:tcPr>
          <w:p>
            <w:pPr>
              <w:ind w:left="20"/>
              <w:spacing w:after="0" w:line="176" w:lineRule="exact"/>
              <w:rPr>
                <w:sz w:val="20"/>
                <w:szCs w:val="20"/>
                <w:color w:val="auto"/>
              </w:rPr>
            </w:pPr>
            <w:r>
              <w:rPr>
                <w:rFonts w:ascii="Arial" w:cs="Arial" w:eastAsia="Arial" w:hAnsi="Arial"/>
                <w:sz w:val="14"/>
                <w:szCs w:val="14"/>
                <w:color w:val="auto"/>
              </w:rPr>
              <w:t>Agency securities</w:t>
            </w:r>
            <w:r>
              <w:rPr>
                <w:rFonts w:ascii="Arial" w:cs="Arial" w:eastAsia="Arial" w:hAnsi="Arial"/>
                <w:sz w:val="18"/>
                <w:szCs w:val="18"/>
                <w:color w:val="auto"/>
                <w:vertAlign w:val="superscript"/>
              </w:rPr>
              <w:t>(1)</w:t>
            </w:r>
          </w:p>
        </w:tc>
        <w:tc>
          <w:tcPr>
            <w:tcW w:w="280" w:type="dxa"/>
            <w:vAlign w:val="bottom"/>
            <w:tcBorders>
              <w:top w:val="single" w:sz="8" w:color="auto"/>
            </w:tcBorders>
            <w:shd w:val="clear" w:color="auto" w:fill="CFF0FC"/>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5,821</w:t>
            </w:r>
          </w:p>
        </w:tc>
        <w:tc>
          <w:tcPr>
            <w:tcW w:w="10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80" w:type="dxa"/>
            <w:vAlign w:val="bottom"/>
            <w:tcBorders>
              <w:top w:val="single" w:sz="8" w:color="CFF0FC"/>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5,814</w:t>
            </w:r>
          </w:p>
        </w:tc>
        <w:tc>
          <w:tcPr>
            <w:tcW w:w="0" w:type="dxa"/>
            <w:vAlign w:val="bottom"/>
          </w:tcPr>
          <w:p>
            <w:pPr>
              <w:spacing w:after="0"/>
              <w:rPr>
                <w:sz w:val="1"/>
                <w:szCs w:val="1"/>
                <w:color w:val="auto"/>
              </w:rPr>
            </w:pPr>
          </w:p>
        </w:tc>
      </w:tr>
      <w:tr>
        <w:trPr>
          <w:trHeight w:val="180"/>
        </w:trPr>
        <w:tc>
          <w:tcPr>
            <w:tcW w:w="5240" w:type="dxa"/>
            <w:vAlign w:val="bottom"/>
          </w:tcPr>
          <w:p>
            <w:pPr>
              <w:ind w:left="20"/>
              <w:spacing w:after="0" w:line="181" w:lineRule="exact"/>
              <w:rPr>
                <w:sz w:val="20"/>
                <w:szCs w:val="20"/>
                <w:color w:val="auto"/>
              </w:rPr>
            </w:pPr>
            <w:r>
              <w:rPr>
                <w:rFonts w:ascii="Arial" w:cs="Arial" w:eastAsia="Arial" w:hAnsi="Arial"/>
                <w:sz w:val="14"/>
                <w:szCs w:val="14"/>
                <w:color w:val="auto"/>
              </w:rPr>
              <w:t>Certificates of deposit</w:t>
            </w:r>
            <w:r>
              <w:rPr>
                <w:rFonts w:ascii="Arial" w:cs="Arial" w:eastAsia="Arial" w:hAnsi="Arial"/>
                <w:sz w:val="18"/>
                <w:szCs w:val="18"/>
                <w:color w:val="auto"/>
                <w:vertAlign w:val="superscript"/>
              </w:rPr>
              <w:t>(2)</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3,770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3,766</w:t>
            </w:r>
          </w:p>
        </w:tc>
        <w:tc>
          <w:tcPr>
            <w:tcW w:w="0" w:type="dxa"/>
            <w:vAlign w:val="bottom"/>
          </w:tcPr>
          <w:p>
            <w:pPr>
              <w:spacing w:after="0"/>
              <w:rPr>
                <w:sz w:val="1"/>
                <w:szCs w:val="1"/>
                <w:color w:val="auto"/>
              </w:rPr>
            </w:pPr>
          </w:p>
        </w:tc>
      </w:tr>
      <w:tr>
        <w:trPr>
          <w:trHeight w:val="180"/>
        </w:trPr>
        <w:tc>
          <w:tcPr>
            <w:tcW w:w="524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Commercial and corporate obligations</w:t>
            </w:r>
            <w:r>
              <w:rPr>
                <w:rFonts w:ascii="Arial" w:cs="Arial" w:eastAsia="Arial" w:hAnsi="Arial"/>
                <w:sz w:val="18"/>
                <w:szCs w:val="18"/>
                <w:color w:val="auto"/>
                <w:vertAlign w:val="superscript"/>
              </w:rPr>
              <w:t>(3)</w:t>
            </w:r>
          </w:p>
        </w:tc>
        <w:tc>
          <w:tcPr>
            <w:tcW w:w="2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22,094</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w:t>
            </w:r>
          </w:p>
        </w:tc>
        <w:tc>
          <w:tcPr>
            <w:tcW w:w="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22,054</w:t>
            </w:r>
          </w:p>
        </w:tc>
        <w:tc>
          <w:tcPr>
            <w:tcW w:w="0" w:type="dxa"/>
            <w:vAlign w:val="bottom"/>
          </w:tcPr>
          <w:p>
            <w:pPr>
              <w:spacing w:after="0"/>
              <w:rPr>
                <w:sz w:val="1"/>
                <w:szCs w:val="1"/>
                <w:color w:val="auto"/>
              </w:rPr>
            </w:pPr>
          </w:p>
        </w:tc>
      </w:tr>
      <w:tr>
        <w:trPr>
          <w:trHeight w:val="180"/>
        </w:trPr>
        <w:tc>
          <w:tcPr>
            <w:tcW w:w="5240" w:type="dxa"/>
            <w:vAlign w:val="bottom"/>
          </w:tcPr>
          <w:p>
            <w:pPr>
              <w:ind w:left="20"/>
              <w:spacing w:after="0" w:line="181" w:lineRule="exact"/>
              <w:rPr>
                <w:sz w:val="20"/>
                <w:szCs w:val="20"/>
                <w:color w:val="auto"/>
              </w:rPr>
            </w:pPr>
            <w:r>
              <w:rPr>
                <w:rFonts w:ascii="Arial" w:cs="Arial" w:eastAsia="Arial" w:hAnsi="Arial"/>
                <w:sz w:val="14"/>
                <w:szCs w:val="14"/>
                <w:color w:val="auto"/>
              </w:rPr>
              <w:t>US Treasury securities</w:t>
            </w:r>
            <w:r>
              <w:rPr>
                <w:rFonts w:ascii="Arial" w:cs="Arial" w:eastAsia="Arial" w:hAnsi="Arial"/>
                <w:sz w:val="18"/>
                <w:szCs w:val="18"/>
                <w:color w:val="auto"/>
                <w:vertAlign w:val="superscript"/>
              </w:rPr>
              <w:t>(4)</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87,995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87,831</w:t>
            </w:r>
          </w:p>
        </w:tc>
        <w:tc>
          <w:tcPr>
            <w:tcW w:w="0" w:type="dxa"/>
            <w:vAlign w:val="bottom"/>
          </w:tcPr>
          <w:p>
            <w:pPr>
              <w:spacing w:after="0"/>
              <w:rPr>
                <w:sz w:val="1"/>
                <w:szCs w:val="1"/>
                <w:color w:val="auto"/>
              </w:rPr>
            </w:pPr>
          </w:p>
        </w:tc>
      </w:tr>
      <w:tr>
        <w:trPr>
          <w:trHeight w:val="196"/>
        </w:trPr>
        <w:tc>
          <w:tcPr>
            <w:tcW w:w="5240" w:type="dxa"/>
            <w:vAlign w:val="bottom"/>
            <w:tcBorders>
              <w:top w:val="single" w:sz="8" w:color="CFF0FC"/>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Total available for sale investments</w:t>
            </w:r>
          </w:p>
        </w:tc>
        <w:tc>
          <w:tcPr>
            <w:tcW w:w="280" w:type="dxa"/>
            <w:vAlign w:val="bottom"/>
            <w:tcBorders>
              <w:top w:val="single" w:sz="8" w:color="auto"/>
              <w:bottom w:val="single" w:sz="8" w:color="auto"/>
            </w:tcBorders>
            <w:shd w:val="clear" w:color="auto" w:fill="CFF0FC"/>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119,680</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auto"/>
            </w:tcBorders>
            <w:shd w:val="clear" w:color="auto" w:fill="CFF0FC"/>
          </w:tcPr>
          <w:p>
            <w:pPr>
              <w:jc w:val="right"/>
              <w:ind w:right="2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auto"/>
            </w:tcBorders>
            <w:shd w:val="clear" w:color="auto" w:fill="CFF0FC"/>
          </w:tcPr>
          <w:p>
            <w:pPr>
              <w:jc w:val="right"/>
              <w:ind w:right="29"/>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(217)</w:t>
            </w: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280" w:type="dxa"/>
            <w:vAlign w:val="bottom"/>
            <w:tcBorders>
              <w:top w:val="single" w:sz="8" w:color="auto"/>
              <w:bottom w:val="single" w:sz="8" w:color="auto"/>
            </w:tcBorders>
            <w:shd w:val="clear" w:color="auto" w:fill="CFF0FC"/>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119,465</w:t>
            </w: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6181090</wp:posOffset>
            </wp:positionH>
            <wp:positionV relativeFrom="paragraph">
              <wp:posOffset>-147320</wp:posOffset>
            </wp:positionV>
            <wp:extent cx="6032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698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-147320</wp:posOffset>
            </wp:positionV>
            <wp:extent cx="6032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-262255</wp:posOffset>
            </wp:positionV>
            <wp:extent cx="4298315" cy="1212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298315" cy="121285"/>
                    </a:xfrm>
                    <a:prstGeom prst="rect">
                      <a:avLst/>
                    </a:prstGeom>
                    <a:noFill/>
                  </pic:spPr>
                </pic:pic>
              </a:graphicData>
            </a:graphic>
          </wp:anchor>
        </w:drawing>
      </w:r>
    </w:p>
    <w:p>
      <w:pPr>
        <w:spacing w:after="0" w:line="49" w:lineRule="exact"/>
        <w:rPr>
          <w:sz w:val="20"/>
          <w:szCs w:val="20"/>
          <w:color w:val="auto"/>
        </w:rPr>
      </w:pPr>
    </w:p>
    <w:p>
      <w:pPr>
        <w:ind w:left="280" w:hanging="243"/>
        <w:spacing w:after="0"/>
        <w:tabs>
          <w:tab w:leader="none" w:pos="280"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Of our outstanding agency securities, $1.0 million have maturity dates of less than one year and $4.8 million have a maturity date of between one to two years as of December 31, 2021.</w:t>
      </w:r>
    </w:p>
    <w:p>
      <w:pPr>
        <w:spacing w:after="0" w:line="33" w:lineRule="exact"/>
        <w:rPr>
          <w:rFonts w:ascii="Arial" w:cs="Arial" w:eastAsia="Arial" w:hAnsi="Arial"/>
          <w:sz w:val="17"/>
          <w:szCs w:val="17"/>
          <w:color w:val="auto"/>
          <w:vertAlign w:val="superscript"/>
        </w:rPr>
      </w:pPr>
    </w:p>
    <w:p>
      <w:pPr>
        <w:ind w:left="260" w:hanging="223"/>
        <w:spacing w:after="0" w:line="206" w:lineRule="auto"/>
        <w:tabs>
          <w:tab w:leader="none" w:pos="260"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Of our outstanding certificates of deposit, $1.3 million have a maturity date of less than one year and $2.5 million have a maturity date of between one to two years as of December 31, 2021.</w:t>
      </w:r>
    </w:p>
    <w:p>
      <w:pPr>
        <w:spacing w:after="0" w:line="33" w:lineRule="exact"/>
        <w:rPr>
          <w:rFonts w:ascii="Arial" w:cs="Arial" w:eastAsia="Arial" w:hAnsi="Arial"/>
          <w:sz w:val="17"/>
          <w:szCs w:val="17"/>
          <w:color w:val="auto"/>
          <w:vertAlign w:val="superscript"/>
        </w:rPr>
      </w:pPr>
    </w:p>
    <w:p>
      <w:pPr>
        <w:ind w:left="360" w:right="460" w:hanging="323"/>
        <w:spacing w:after="0" w:line="220" w:lineRule="auto"/>
        <w:tabs>
          <w:tab w:leader="none" w:pos="325"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Of our outstanding commercial and corporate obligations, $4.8 million have maturity dates of less than one year and $17.3 million have a maturity date of between one to two years as of December 31, 2021.</w:t>
      </w:r>
    </w:p>
    <w:p>
      <w:pPr>
        <w:spacing w:after="0" w:line="11" w:lineRule="exact"/>
        <w:rPr>
          <w:rFonts w:ascii="Arial" w:cs="Arial" w:eastAsia="Arial" w:hAnsi="Arial"/>
          <w:sz w:val="18"/>
          <w:szCs w:val="18"/>
          <w:color w:val="auto"/>
          <w:vertAlign w:val="superscript"/>
        </w:rPr>
      </w:pPr>
    </w:p>
    <w:p>
      <w:pPr>
        <w:ind w:left="360" w:right="340" w:hanging="323"/>
        <w:spacing w:after="0" w:line="228" w:lineRule="auto"/>
        <w:tabs>
          <w:tab w:leader="none" w:pos="325"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Of our outstanding U.S. Treasury securities, $45.3 million have maturity dates of less than one year and $42.5 million have a maturity date of between one to two years as of December 31, 2021.</w:t>
      </w:r>
    </w:p>
    <w:p>
      <w:pPr>
        <w:spacing w:after="0" w:line="160" w:lineRule="exact"/>
        <w:rPr>
          <w:sz w:val="20"/>
          <w:szCs w:val="20"/>
          <w:color w:val="auto"/>
        </w:rPr>
      </w:pPr>
    </w:p>
    <w:p>
      <w:pPr>
        <w:ind w:right="40" w:firstLine="382"/>
        <w:spacing w:after="0" w:line="281" w:lineRule="auto"/>
        <w:rPr>
          <w:sz w:val="20"/>
          <w:szCs w:val="20"/>
          <w:color w:val="auto"/>
        </w:rPr>
      </w:pPr>
      <w:r>
        <w:rPr>
          <w:rFonts w:ascii="Arial" w:cs="Arial" w:eastAsia="Arial" w:hAnsi="Arial"/>
          <w:sz w:val="14"/>
          <w:szCs w:val="14"/>
          <w:color w:val="auto"/>
        </w:rPr>
        <w:t>The following tables present gross unrealized losses and fair values for those investments that were in an unrealized loss position as of September 30, 2022 and December 31, 2021, aggregated by investment category and the length of time that individual securities have been in a continuous loss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02" w:right="319" w:bottom="1440" w:gutter="0" w:footer="0" w:header="0"/>
        </w:sectPr>
      </w:pPr>
    </w:p>
    <w:bookmarkStart w:id="18" w:name="page19"/>
    <w:bookmarkEnd w:id="18"/>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30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5"/>
          </w:tcPr>
          <w:p>
            <w:pPr>
              <w:ind w:left="640"/>
              <w:spacing w:after="0"/>
              <w:rPr>
                <w:sz w:val="20"/>
                <w:szCs w:val="20"/>
                <w:color w:val="auto"/>
              </w:rPr>
            </w:pPr>
            <w:r>
              <w:rPr>
                <w:rFonts w:ascii="Arial" w:cs="Arial" w:eastAsia="Arial" w:hAnsi="Arial"/>
                <w:sz w:val="11"/>
                <w:szCs w:val="11"/>
                <w:b w:val="1"/>
                <w:bCs w:val="1"/>
                <w:color w:val="auto"/>
              </w:rPr>
              <w:t>September 30, 2022</w:t>
            </w: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0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1"/>
                <w:szCs w:val="11"/>
                <w:b w:val="1"/>
                <w:bCs w:val="1"/>
                <w:color w:val="auto"/>
              </w:rPr>
              <w:t>Less than 12 Months</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4"/>
          </w:tcPr>
          <w:p>
            <w:pPr>
              <w:ind w:left="560"/>
              <w:spacing w:after="0"/>
              <w:rPr>
                <w:sz w:val="20"/>
                <w:szCs w:val="20"/>
                <w:color w:val="auto"/>
              </w:rPr>
            </w:pPr>
            <w:r>
              <w:rPr>
                <w:rFonts w:ascii="Arial" w:cs="Arial" w:eastAsia="Arial" w:hAnsi="Arial"/>
                <w:sz w:val="11"/>
                <w:szCs w:val="11"/>
                <w:b w:val="1"/>
                <w:bCs w:val="1"/>
                <w:color w:val="auto"/>
              </w:rPr>
              <w:t>12 Months or Greater</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Total</w:t>
            </w: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0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thousands)</w:t>
            </w:r>
          </w:p>
        </w:tc>
        <w:tc>
          <w:tcPr>
            <w:tcW w:w="240" w:type="dxa"/>
            <w:vAlign w:val="bottom"/>
          </w:tcPr>
          <w:p>
            <w:pPr>
              <w:spacing w:after="0"/>
              <w:rPr>
                <w:sz w:val="10"/>
                <w:szCs w:val="10"/>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Fair Value</w:t>
            </w:r>
          </w:p>
        </w:tc>
        <w:tc>
          <w:tcPr>
            <w:tcW w:w="140" w:type="dxa"/>
            <w:vAlign w:val="bottom"/>
          </w:tcPr>
          <w:p>
            <w:pPr>
              <w:spacing w:after="0"/>
              <w:rPr>
                <w:sz w:val="10"/>
                <w:szCs w:val="10"/>
                <w:color w:val="auto"/>
              </w:rPr>
            </w:pPr>
          </w:p>
        </w:tc>
        <w:tc>
          <w:tcPr>
            <w:tcW w:w="1220" w:type="dxa"/>
            <w:vAlign w:val="bottom"/>
            <w:gridSpan w:val="2"/>
          </w:tcPr>
          <w:p>
            <w:pPr>
              <w:jc w:val="center"/>
              <w:ind w:right="220"/>
              <w:spacing w:after="0" w:line="117" w:lineRule="exact"/>
              <w:rPr>
                <w:sz w:val="20"/>
                <w:szCs w:val="20"/>
                <w:color w:val="auto"/>
              </w:rPr>
            </w:pPr>
            <w:r>
              <w:rPr>
                <w:rFonts w:ascii="Arial" w:cs="Arial" w:eastAsia="Arial" w:hAnsi="Arial"/>
                <w:sz w:val="11"/>
                <w:szCs w:val="11"/>
                <w:b w:val="1"/>
                <w:bCs w:val="1"/>
                <w:color w:val="auto"/>
                <w:w w:val="87"/>
              </w:rPr>
              <w:t>Gross</w:t>
            </w:r>
          </w:p>
        </w:tc>
        <w:tc>
          <w:tcPr>
            <w:tcW w:w="240" w:type="dxa"/>
            <w:vAlign w:val="bottom"/>
          </w:tcPr>
          <w:p>
            <w:pPr>
              <w:spacing w:after="0"/>
              <w:rPr>
                <w:sz w:val="10"/>
                <w:szCs w:val="10"/>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Fair Value</w:t>
            </w:r>
          </w:p>
        </w:tc>
        <w:tc>
          <w:tcPr>
            <w:tcW w:w="140" w:type="dxa"/>
            <w:vAlign w:val="bottom"/>
          </w:tcPr>
          <w:p>
            <w:pPr>
              <w:spacing w:after="0"/>
              <w:rPr>
                <w:sz w:val="10"/>
                <w:szCs w:val="10"/>
                <w:color w:val="auto"/>
              </w:rPr>
            </w:pPr>
          </w:p>
        </w:tc>
        <w:tc>
          <w:tcPr>
            <w:tcW w:w="1220" w:type="dxa"/>
            <w:vAlign w:val="bottom"/>
            <w:gridSpan w:val="2"/>
          </w:tcPr>
          <w:p>
            <w:pPr>
              <w:jc w:val="center"/>
              <w:ind w:right="220"/>
              <w:spacing w:after="0" w:line="117" w:lineRule="exact"/>
              <w:rPr>
                <w:sz w:val="20"/>
                <w:szCs w:val="20"/>
                <w:color w:val="auto"/>
              </w:rPr>
            </w:pPr>
            <w:r>
              <w:rPr>
                <w:rFonts w:ascii="Arial" w:cs="Arial" w:eastAsia="Arial" w:hAnsi="Arial"/>
                <w:sz w:val="11"/>
                <w:szCs w:val="11"/>
                <w:b w:val="1"/>
                <w:bCs w:val="1"/>
                <w:color w:val="auto"/>
                <w:w w:val="87"/>
              </w:rPr>
              <w:t>Gross</w:t>
            </w:r>
          </w:p>
        </w:tc>
        <w:tc>
          <w:tcPr>
            <w:tcW w:w="240" w:type="dxa"/>
            <w:vAlign w:val="bottom"/>
          </w:tcPr>
          <w:p>
            <w:pPr>
              <w:spacing w:after="0"/>
              <w:rPr>
                <w:sz w:val="10"/>
                <w:szCs w:val="10"/>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Fair Value</w:t>
            </w:r>
          </w:p>
        </w:tc>
        <w:tc>
          <w:tcPr>
            <w:tcW w:w="140" w:type="dxa"/>
            <w:vAlign w:val="bottom"/>
          </w:tcPr>
          <w:p>
            <w:pPr>
              <w:spacing w:after="0"/>
              <w:rPr>
                <w:sz w:val="10"/>
                <w:szCs w:val="10"/>
                <w:color w:val="auto"/>
              </w:rPr>
            </w:pPr>
          </w:p>
        </w:tc>
        <w:tc>
          <w:tcPr>
            <w:tcW w:w="1160" w:type="dxa"/>
            <w:vAlign w:val="bottom"/>
          </w:tcPr>
          <w:p>
            <w:pPr>
              <w:jc w:val="center"/>
              <w:ind w:right="93"/>
              <w:spacing w:after="0" w:line="117" w:lineRule="exact"/>
              <w:rPr>
                <w:sz w:val="20"/>
                <w:szCs w:val="20"/>
                <w:color w:val="auto"/>
              </w:rPr>
            </w:pPr>
            <w:r>
              <w:rPr>
                <w:rFonts w:ascii="Arial" w:cs="Arial" w:eastAsia="Arial" w:hAnsi="Arial"/>
                <w:sz w:val="11"/>
                <w:szCs w:val="11"/>
                <w:b w:val="1"/>
                <w:bCs w:val="1"/>
                <w:color w:val="auto"/>
                <w:w w:val="87"/>
              </w:rPr>
              <w:t>Gross</w:t>
            </w:r>
          </w:p>
        </w:tc>
        <w:tc>
          <w:tcPr>
            <w:tcW w:w="0" w:type="dxa"/>
            <w:vAlign w:val="bottom"/>
          </w:tcPr>
          <w:p>
            <w:pPr>
              <w:spacing w:after="0"/>
              <w:rPr>
                <w:sz w:val="1"/>
                <w:szCs w:val="1"/>
                <w:color w:val="auto"/>
              </w:rPr>
            </w:pPr>
          </w:p>
        </w:tc>
      </w:tr>
      <w:tr>
        <w:trPr>
          <w:trHeight w:val="156"/>
        </w:trPr>
        <w:tc>
          <w:tcPr>
            <w:tcW w:w="30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Unrealized Losses</w:t>
            </w:r>
          </w:p>
        </w:tc>
        <w:tc>
          <w:tcPr>
            <w:tcW w:w="24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Unrealized Losses</w:t>
            </w:r>
          </w:p>
        </w:tc>
        <w:tc>
          <w:tcPr>
            <w:tcW w:w="24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73"/>
              <w:spacing w:after="0"/>
              <w:rPr>
                <w:sz w:val="20"/>
                <w:szCs w:val="20"/>
                <w:color w:val="auto"/>
              </w:rPr>
            </w:pPr>
            <w:r>
              <w:rPr>
                <w:rFonts w:ascii="Arial" w:cs="Arial" w:eastAsia="Arial" w:hAnsi="Arial"/>
                <w:sz w:val="11"/>
                <w:szCs w:val="11"/>
                <w:b w:val="1"/>
                <w:bCs w:val="1"/>
                <w:color w:val="auto"/>
                <w:w w:val="88"/>
              </w:rPr>
              <w:t>Unrealized Losses</w:t>
            </w:r>
          </w:p>
        </w:tc>
        <w:tc>
          <w:tcPr>
            <w:tcW w:w="0" w:type="dxa"/>
            <w:vAlign w:val="bottom"/>
          </w:tcPr>
          <w:p>
            <w:pPr>
              <w:spacing w:after="0"/>
              <w:rPr>
                <w:sz w:val="1"/>
                <w:szCs w:val="1"/>
                <w:color w:val="auto"/>
              </w:rPr>
            </w:pPr>
          </w:p>
        </w:tc>
      </w:tr>
      <w:tr>
        <w:trPr>
          <w:trHeight w:val="180"/>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Agency securities</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54,218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(955)</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center"/>
              <w:ind w:left="793"/>
              <w:spacing w:after="0"/>
              <w:rPr>
                <w:sz w:val="20"/>
                <w:szCs w:val="20"/>
                <w:color w:val="auto"/>
              </w:rPr>
            </w:pPr>
            <w:r>
              <w:rPr>
                <w:rFonts w:ascii="Arial" w:cs="Arial" w:eastAsia="Arial" w:hAnsi="Arial"/>
                <w:sz w:val="14"/>
                <w:szCs w:val="14"/>
                <w:color w:val="auto"/>
                <w:w w:val="99"/>
              </w:rPr>
              <w:t>—</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54,218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(955)</w:t>
            </w:r>
          </w:p>
        </w:tc>
        <w:tc>
          <w:tcPr>
            <w:tcW w:w="0" w:type="dxa"/>
            <w:vAlign w:val="bottom"/>
          </w:tcPr>
          <w:p>
            <w:pPr>
              <w:spacing w:after="0"/>
              <w:rPr>
                <w:sz w:val="1"/>
                <w:szCs w:val="1"/>
                <w:color w:val="auto"/>
              </w:rPr>
            </w:pPr>
          </w:p>
        </w:tc>
      </w:tr>
      <w:tr>
        <w:trPr>
          <w:trHeight w:val="180"/>
        </w:trPr>
        <w:tc>
          <w:tcPr>
            <w:tcW w:w="3040" w:type="dxa"/>
            <w:vAlign w:val="bottom"/>
          </w:tcPr>
          <w:p>
            <w:pPr>
              <w:ind w:left="20"/>
              <w:spacing w:after="0"/>
              <w:rPr>
                <w:sz w:val="20"/>
                <w:szCs w:val="20"/>
                <w:color w:val="auto"/>
              </w:rPr>
            </w:pPr>
            <w:r>
              <w:rPr>
                <w:rFonts w:ascii="Arial" w:cs="Arial" w:eastAsia="Arial" w:hAnsi="Arial"/>
                <w:sz w:val="14"/>
                <w:szCs w:val="14"/>
                <w:color w:val="auto"/>
              </w:rPr>
              <w:t>Commercial and corporate obligations</w:t>
            </w: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51,400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(982)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3,688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center"/>
              <w:ind w:left="773"/>
              <w:spacing w:after="0"/>
              <w:rPr>
                <w:sz w:val="20"/>
                <w:szCs w:val="20"/>
                <w:color w:val="auto"/>
              </w:rPr>
            </w:pPr>
            <w:r>
              <w:rPr>
                <w:rFonts w:ascii="Arial" w:cs="Arial" w:eastAsia="Arial" w:hAnsi="Arial"/>
                <w:sz w:val="14"/>
                <w:szCs w:val="14"/>
                <w:color w:val="auto"/>
                <w:w w:val="96"/>
              </w:rPr>
              <w:t>(70)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55,088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(1,052)</w:t>
            </w:r>
          </w:p>
        </w:tc>
        <w:tc>
          <w:tcPr>
            <w:tcW w:w="0" w:type="dxa"/>
            <w:vAlign w:val="bottom"/>
          </w:tcPr>
          <w:p>
            <w:pPr>
              <w:spacing w:after="0"/>
              <w:rPr>
                <w:sz w:val="1"/>
                <w:szCs w:val="1"/>
                <w:color w:val="auto"/>
              </w:rPr>
            </w:pPr>
          </w:p>
        </w:tc>
      </w:tr>
      <w:tr>
        <w:trPr>
          <w:trHeight w:val="181"/>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Certificates of deposit</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center"/>
              <w:ind w:left="773"/>
              <w:spacing w:after="0"/>
              <w:rPr>
                <w:sz w:val="20"/>
                <w:szCs w:val="20"/>
                <w:color w:val="auto"/>
              </w:rPr>
            </w:pPr>
            <w:r>
              <w:rPr>
                <w:rFonts w:ascii="Arial" w:cs="Arial" w:eastAsia="Arial" w:hAnsi="Arial"/>
                <w:sz w:val="14"/>
                <w:szCs w:val="14"/>
                <w:color w:val="auto"/>
                <w:w w:val="96"/>
              </w:rPr>
              <w:t>(19)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80"/>
        </w:trPr>
        <w:tc>
          <w:tcPr>
            <w:tcW w:w="3040" w:type="dxa"/>
            <w:vAlign w:val="bottom"/>
          </w:tcPr>
          <w:p>
            <w:pPr>
              <w:ind w:left="20"/>
              <w:spacing w:after="0"/>
              <w:rPr>
                <w:sz w:val="20"/>
                <w:szCs w:val="20"/>
                <w:color w:val="auto"/>
              </w:rPr>
            </w:pPr>
            <w:r>
              <w:rPr>
                <w:rFonts w:ascii="Arial" w:cs="Arial" w:eastAsia="Arial" w:hAnsi="Arial"/>
                <w:sz w:val="14"/>
                <w:szCs w:val="14"/>
                <w:color w:val="auto"/>
              </w:rPr>
              <w:t>US Treasury Securities</w:t>
            </w: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389,766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20" w:type="dxa"/>
            <w:vAlign w:val="bottom"/>
            <w:gridSpan w:val="2"/>
          </w:tcPr>
          <w:p>
            <w:pPr>
              <w:jc w:val="center"/>
              <w:ind w:left="693"/>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389,766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(3,723)</w:t>
            </w:r>
          </w:p>
        </w:tc>
        <w:tc>
          <w:tcPr>
            <w:tcW w:w="0" w:type="dxa"/>
            <w:vAlign w:val="bottom"/>
          </w:tcPr>
          <w:p>
            <w:pPr>
              <w:spacing w:after="0"/>
              <w:rPr>
                <w:sz w:val="1"/>
                <w:szCs w:val="1"/>
                <w:color w:val="auto"/>
              </w:rPr>
            </w:pPr>
          </w:p>
        </w:tc>
      </w:tr>
      <w:tr>
        <w:trPr>
          <w:trHeight w:val="196"/>
        </w:trPr>
        <w:tc>
          <w:tcPr>
            <w:tcW w:w="30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497,530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4,387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center"/>
              <w:ind w:left="773"/>
              <w:spacing w:after="0"/>
              <w:rPr>
                <w:sz w:val="20"/>
                <w:szCs w:val="20"/>
                <w:color w:val="auto"/>
              </w:rPr>
            </w:pPr>
            <w:r>
              <w:rPr>
                <w:rFonts w:ascii="Arial" w:cs="Arial" w:eastAsia="Arial" w:hAnsi="Arial"/>
                <w:sz w:val="14"/>
                <w:szCs w:val="14"/>
                <w:color w:val="auto"/>
                <w:w w:val="96"/>
              </w:rPr>
              <w:t>(89)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501,917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(5,805)</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30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ind w:left="660"/>
              <w:spacing w:after="0"/>
              <w:rPr>
                <w:sz w:val="20"/>
                <w:szCs w:val="20"/>
                <w:color w:val="auto"/>
              </w:rPr>
            </w:pPr>
            <w:r>
              <w:rPr>
                <w:rFonts w:ascii="Arial" w:cs="Arial" w:eastAsia="Arial" w:hAnsi="Arial"/>
                <w:sz w:val="11"/>
                <w:szCs w:val="11"/>
                <w:b w:val="1"/>
                <w:bCs w:val="1"/>
                <w:color w:val="auto"/>
              </w:rPr>
              <w:t>December 31, 2021</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80" w:type="dxa"/>
            <w:vAlign w:val="bottom"/>
            <w:gridSpan w:val="5"/>
          </w:tcPr>
          <w:p>
            <w:pPr>
              <w:jc w:val="right"/>
              <w:ind w:right="900"/>
              <w:spacing w:after="0"/>
              <w:rPr>
                <w:sz w:val="20"/>
                <w:szCs w:val="20"/>
                <w:color w:val="auto"/>
              </w:rPr>
            </w:pPr>
            <w:r>
              <w:rPr>
                <w:rFonts w:ascii="Arial" w:cs="Arial" w:eastAsia="Arial" w:hAnsi="Arial"/>
                <w:sz w:val="11"/>
                <w:szCs w:val="11"/>
                <w:b w:val="1"/>
                <w:bCs w:val="1"/>
                <w:color w:val="auto"/>
              </w:rPr>
              <w:t>Less than 12 Months</w:t>
            </w:r>
          </w:p>
        </w:tc>
        <w:tc>
          <w:tcPr>
            <w:tcW w:w="240" w:type="dxa"/>
            <w:vAlign w:val="bottom"/>
          </w:tcPr>
          <w:p>
            <w:pPr>
              <w:spacing w:after="0"/>
              <w:rPr>
                <w:sz w:val="13"/>
                <w:szCs w:val="13"/>
                <w:color w:val="auto"/>
              </w:rPr>
            </w:pPr>
          </w:p>
        </w:tc>
        <w:tc>
          <w:tcPr>
            <w:tcW w:w="2500" w:type="dxa"/>
            <w:vAlign w:val="bottom"/>
            <w:gridSpan w:val="5"/>
          </w:tcPr>
          <w:p>
            <w:pPr>
              <w:ind w:left="560"/>
              <w:spacing w:after="0"/>
              <w:rPr>
                <w:sz w:val="20"/>
                <w:szCs w:val="20"/>
                <w:color w:val="auto"/>
              </w:rPr>
            </w:pPr>
            <w:r>
              <w:rPr>
                <w:rFonts w:ascii="Arial" w:cs="Arial" w:eastAsia="Arial" w:hAnsi="Arial"/>
                <w:sz w:val="11"/>
                <w:szCs w:val="11"/>
                <w:b w:val="1"/>
                <w:bCs w:val="1"/>
                <w:color w:val="auto"/>
              </w:rPr>
              <w:t>12 Months or Greater</w:t>
            </w:r>
          </w:p>
        </w:tc>
        <w:tc>
          <w:tcPr>
            <w:tcW w:w="240" w:type="dxa"/>
            <w:vAlign w:val="bottom"/>
          </w:tcPr>
          <w:p>
            <w:pPr>
              <w:spacing w:after="0"/>
              <w:rPr>
                <w:sz w:val="13"/>
                <w:szCs w:val="13"/>
                <w:color w:val="auto"/>
              </w:rPr>
            </w:pPr>
          </w:p>
        </w:tc>
        <w:tc>
          <w:tcPr>
            <w:tcW w:w="1300" w:type="dxa"/>
            <w:vAlign w:val="bottom"/>
            <w:gridSpan w:val="3"/>
          </w:tcPr>
          <w:p>
            <w:pPr>
              <w:jc w:val="right"/>
              <w:spacing w:after="0"/>
              <w:rPr>
                <w:sz w:val="20"/>
                <w:szCs w:val="20"/>
                <w:color w:val="auto"/>
              </w:rPr>
            </w:pPr>
            <w:r>
              <w:rPr>
                <w:rFonts w:ascii="Arial" w:cs="Arial" w:eastAsia="Arial" w:hAnsi="Arial"/>
                <w:sz w:val="11"/>
                <w:szCs w:val="11"/>
                <w:b w:val="1"/>
                <w:bCs w:val="1"/>
                <w:color w:val="auto"/>
              </w:rPr>
              <w:t>Total</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30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thousands)</w:t>
            </w:r>
          </w:p>
        </w:tc>
        <w:tc>
          <w:tcPr>
            <w:tcW w:w="24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1"/>
                <w:szCs w:val="11"/>
                <w:b w:val="1"/>
                <w:bCs w:val="1"/>
                <w:color w:val="auto"/>
              </w:rPr>
              <w:t>Fair Value</w:t>
            </w:r>
          </w:p>
        </w:tc>
        <w:tc>
          <w:tcPr>
            <w:tcW w:w="14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jc w:val="center"/>
              <w:ind w:right="53"/>
              <w:spacing w:after="0" w:line="107" w:lineRule="exact"/>
              <w:rPr>
                <w:sz w:val="20"/>
                <w:szCs w:val="20"/>
                <w:color w:val="auto"/>
              </w:rPr>
            </w:pPr>
            <w:r>
              <w:rPr>
                <w:rFonts w:ascii="Arial" w:cs="Arial" w:eastAsia="Arial" w:hAnsi="Arial"/>
                <w:sz w:val="11"/>
                <w:szCs w:val="11"/>
                <w:b w:val="1"/>
                <w:bCs w:val="1"/>
                <w:color w:val="auto"/>
                <w:w w:val="87"/>
              </w:rPr>
              <w:t>Gross</w:t>
            </w:r>
          </w:p>
        </w:tc>
        <w:tc>
          <w:tcPr>
            <w:tcW w:w="10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1"/>
                <w:szCs w:val="11"/>
                <w:b w:val="1"/>
                <w:bCs w:val="1"/>
                <w:color w:val="auto"/>
              </w:rPr>
              <w:t>Fair Value</w:t>
            </w:r>
          </w:p>
        </w:tc>
        <w:tc>
          <w:tcPr>
            <w:tcW w:w="14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jc w:val="center"/>
              <w:ind w:right="53"/>
              <w:spacing w:after="0" w:line="107" w:lineRule="exact"/>
              <w:rPr>
                <w:sz w:val="20"/>
                <w:szCs w:val="20"/>
                <w:color w:val="auto"/>
              </w:rPr>
            </w:pPr>
            <w:r>
              <w:rPr>
                <w:rFonts w:ascii="Arial" w:cs="Arial" w:eastAsia="Arial" w:hAnsi="Arial"/>
                <w:sz w:val="11"/>
                <w:szCs w:val="11"/>
                <w:b w:val="1"/>
                <w:bCs w:val="1"/>
                <w:color w:val="auto"/>
                <w:w w:val="87"/>
              </w:rPr>
              <w:t>Gross</w:t>
            </w:r>
          </w:p>
        </w:tc>
        <w:tc>
          <w:tcPr>
            <w:tcW w:w="10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1"/>
                <w:szCs w:val="11"/>
                <w:b w:val="1"/>
                <w:bCs w:val="1"/>
                <w:color w:val="auto"/>
              </w:rPr>
              <w:t>Fair Value</w:t>
            </w:r>
          </w:p>
        </w:tc>
        <w:tc>
          <w:tcPr>
            <w:tcW w:w="14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tcPr>
          <w:p>
            <w:pPr>
              <w:jc w:val="center"/>
              <w:ind w:right="93"/>
              <w:spacing w:after="0" w:line="107" w:lineRule="exact"/>
              <w:rPr>
                <w:sz w:val="20"/>
                <w:szCs w:val="20"/>
                <w:color w:val="auto"/>
              </w:rPr>
            </w:pPr>
            <w:r>
              <w:rPr>
                <w:rFonts w:ascii="Arial" w:cs="Arial" w:eastAsia="Arial" w:hAnsi="Arial"/>
                <w:sz w:val="11"/>
                <w:szCs w:val="11"/>
                <w:b w:val="1"/>
                <w:bCs w:val="1"/>
                <w:color w:val="auto"/>
                <w:w w:val="87"/>
              </w:rPr>
              <w:t>Gross</w:t>
            </w:r>
          </w:p>
        </w:tc>
        <w:tc>
          <w:tcPr>
            <w:tcW w:w="0" w:type="dxa"/>
            <w:vAlign w:val="bottom"/>
          </w:tcPr>
          <w:p>
            <w:pPr>
              <w:spacing w:after="0"/>
              <w:rPr>
                <w:sz w:val="1"/>
                <w:szCs w:val="1"/>
                <w:color w:val="auto"/>
              </w:rPr>
            </w:pPr>
          </w:p>
        </w:tc>
      </w:tr>
      <w:tr>
        <w:trPr>
          <w:trHeight w:val="151"/>
        </w:trPr>
        <w:tc>
          <w:tcPr>
            <w:tcW w:w="30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Unrealized Losses</w:t>
            </w:r>
          </w:p>
        </w:tc>
        <w:tc>
          <w:tcPr>
            <w:tcW w:w="24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Unrealized Losses</w:t>
            </w:r>
          </w:p>
        </w:tc>
        <w:tc>
          <w:tcPr>
            <w:tcW w:w="24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73"/>
              <w:spacing w:after="0"/>
              <w:rPr>
                <w:sz w:val="20"/>
                <w:szCs w:val="20"/>
                <w:color w:val="auto"/>
              </w:rPr>
            </w:pPr>
            <w:r>
              <w:rPr>
                <w:rFonts w:ascii="Arial" w:cs="Arial" w:eastAsia="Arial" w:hAnsi="Arial"/>
                <w:sz w:val="11"/>
                <w:szCs w:val="11"/>
                <w:b w:val="1"/>
                <w:bCs w:val="1"/>
                <w:color w:val="auto"/>
                <w:w w:val="88"/>
              </w:rPr>
              <w:t>Unrealized Losses</w:t>
            </w:r>
          </w:p>
        </w:tc>
        <w:tc>
          <w:tcPr>
            <w:tcW w:w="0" w:type="dxa"/>
            <w:vAlign w:val="bottom"/>
          </w:tcPr>
          <w:p>
            <w:pPr>
              <w:spacing w:after="0"/>
              <w:rPr>
                <w:sz w:val="1"/>
                <w:szCs w:val="1"/>
                <w:color w:val="auto"/>
              </w:rPr>
            </w:pPr>
          </w:p>
        </w:tc>
      </w:tr>
      <w:tr>
        <w:trPr>
          <w:trHeight w:val="175"/>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Agency securities</w:t>
            </w: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center"/>
              <w:ind w:left="793"/>
              <w:spacing w:after="0"/>
              <w:rPr>
                <w:sz w:val="20"/>
                <w:szCs w:val="20"/>
                <w:color w:val="auto"/>
              </w:rPr>
            </w:pPr>
            <w:r>
              <w:rPr>
                <w:rFonts w:ascii="Arial" w:cs="Arial" w:eastAsia="Arial" w:hAnsi="Arial"/>
                <w:sz w:val="14"/>
                <w:szCs w:val="14"/>
                <w:color w:val="auto"/>
                <w:w w:val="99"/>
              </w:rPr>
              <w:t>—</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0"/>
        </w:trPr>
        <w:tc>
          <w:tcPr>
            <w:tcW w:w="3040" w:type="dxa"/>
            <w:vAlign w:val="bottom"/>
          </w:tcPr>
          <w:p>
            <w:pPr>
              <w:ind w:left="20"/>
              <w:spacing w:after="0"/>
              <w:rPr>
                <w:sz w:val="20"/>
                <w:szCs w:val="20"/>
                <w:color w:val="auto"/>
              </w:rPr>
            </w:pPr>
            <w:r>
              <w:rPr>
                <w:rFonts w:ascii="Arial" w:cs="Arial" w:eastAsia="Arial" w:hAnsi="Arial"/>
                <w:sz w:val="14"/>
                <w:szCs w:val="14"/>
                <w:color w:val="auto"/>
              </w:rPr>
              <w:t>Certificates of Deposit</w:t>
            </w: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2,870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20" w:type="dxa"/>
            <w:vAlign w:val="bottom"/>
            <w:gridSpan w:val="2"/>
          </w:tcPr>
          <w:p>
            <w:pPr>
              <w:jc w:val="center"/>
              <w:ind w:left="693"/>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2,870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1"/>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and corporate obligations</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18,524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center"/>
              <w:ind w:left="693"/>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18,524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0"/>
        </w:trPr>
        <w:tc>
          <w:tcPr>
            <w:tcW w:w="3040" w:type="dxa"/>
            <w:vAlign w:val="bottom"/>
          </w:tcPr>
          <w:p>
            <w:pPr>
              <w:ind w:left="20"/>
              <w:spacing w:after="0"/>
              <w:rPr>
                <w:sz w:val="20"/>
                <w:szCs w:val="20"/>
                <w:color w:val="auto"/>
              </w:rPr>
            </w:pPr>
            <w:r>
              <w:rPr>
                <w:rFonts w:ascii="Arial" w:cs="Arial" w:eastAsia="Arial" w:hAnsi="Arial"/>
                <w:sz w:val="14"/>
                <w:szCs w:val="14"/>
                <w:color w:val="auto"/>
              </w:rPr>
              <w:t>US Treasury Securities</w:t>
            </w: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82,823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220" w:type="dxa"/>
            <w:vAlign w:val="bottom"/>
            <w:gridSpan w:val="2"/>
          </w:tcPr>
          <w:p>
            <w:pPr>
              <w:jc w:val="center"/>
              <w:ind w:left="693"/>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82,823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96"/>
        </w:trPr>
        <w:tc>
          <w:tcPr>
            <w:tcW w:w="30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108,694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center"/>
              <w:ind w:left="793"/>
              <w:spacing w:after="0"/>
              <w:rPr>
                <w:sz w:val="20"/>
                <w:szCs w:val="20"/>
                <w:color w:val="auto"/>
              </w:rPr>
            </w:pPr>
            <w:r>
              <w:rPr>
                <w:rFonts w:ascii="Arial" w:cs="Arial" w:eastAsia="Arial" w:hAnsi="Arial"/>
                <w:sz w:val="14"/>
                <w:szCs w:val="14"/>
                <w:color w:val="auto"/>
                <w:w w:val="99"/>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108,694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firstLine="382"/>
        <w:spacing w:after="0" w:line="297" w:lineRule="auto"/>
        <w:rPr>
          <w:sz w:val="20"/>
          <w:szCs w:val="20"/>
          <w:color w:val="auto"/>
        </w:rPr>
      </w:pPr>
      <w:r>
        <w:rPr>
          <w:rFonts w:ascii="Arial" w:cs="Arial" w:eastAsia="Arial" w:hAnsi="Arial"/>
          <w:sz w:val="13"/>
          <w:szCs w:val="13"/>
          <w:color w:val="auto"/>
        </w:rPr>
        <w:t>As of September 30, 2022 and December 31, 2021, unrealized losses on available for sale investments were $5.8 million and $0.2 million, respectively. Unrealized losses of $0.1 million, on available for sale investments that were in an unrealized loss position for greater than 12 months as of September 30, 2022, were considered immaterial. We do not intend to sell the investments and it is not more likely than not that we will be required to sell the investments before recovery of their amortized cost basis, accordingly, no allowance for credit losses were recorded.</w:t>
      </w:r>
    </w:p>
    <w:p>
      <w:pPr>
        <w:spacing w:after="0" w:line="205" w:lineRule="exact"/>
        <w:rPr>
          <w:sz w:val="20"/>
          <w:szCs w:val="20"/>
          <w:color w:val="auto"/>
        </w:rPr>
      </w:pPr>
    </w:p>
    <w:p>
      <w:pPr>
        <w:ind w:left="200" w:right="9840" w:hanging="195"/>
        <w:spacing w:after="0" w:line="446" w:lineRule="auto"/>
        <w:tabs>
          <w:tab w:leader="none" w:pos="150" w:val="left"/>
        </w:tabs>
        <w:numPr>
          <w:ilvl w:val="0"/>
          <w:numId w:val="9"/>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Stockholders’ Equity </w:t>
      </w:r>
      <w:r>
        <w:rPr>
          <w:rFonts w:ascii="Arial" w:cs="Arial" w:eastAsia="Arial" w:hAnsi="Arial"/>
          <w:sz w:val="12"/>
          <w:szCs w:val="12"/>
          <w:b w:val="1"/>
          <w:bCs w:val="1"/>
          <w:i w:val="1"/>
          <w:iCs w:val="1"/>
          <w:color w:val="auto"/>
        </w:rPr>
        <w:t>Common Stock</w:t>
      </w:r>
    </w:p>
    <w:p>
      <w:pPr>
        <w:ind w:right="480" w:firstLine="382"/>
        <w:spacing w:after="0" w:line="281" w:lineRule="auto"/>
        <w:rPr>
          <w:sz w:val="20"/>
          <w:szCs w:val="20"/>
          <w:color w:val="auto"/>
        </w:rPr>
      </w:pPr>
      <w:r>
        <w:rPr>
          <w:rFonts w:ascii="Arial" w:cs="Arial" w:eastAsia="Arial" w:hAnsi="Arial"/>
          <w:sz w:val="14"/>
          <w:szCs w:val="14"/>
          <w:color w:val="auto"/>
        </w:rPr>
        <w:t>Of the 500,000,000 shares of common stock authorized, 28,354,167 shares were issued and outstanding as of September 30, 2022. Common stock reserved for future issuance upon the exercise, issuance or conversion of the respective equity instruments at September 30, 2022 are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Issued and Outstanding:</w:t>
            </w:r>
          </w:p>
        </w:tc>
        <w:tc>
          <w:tcPr>
            <w:tcW w:w="1580" w:type="dxa"/>
            <w:vAlign w:val="bottom"/>
            <w:shd w:val="clear" w:color="auto" w:fill="CCEEFF"/>
          </w:tcPr>
          <w:p>
            <w:pPr>
              <w:spacing w:after="0"/>
              <w:rPr>
                <w:sz w:val="15"/>
                <w:szCs w:val="15"/>
                <w:color w:val="auto"/>
              </w:rPr>
            </w:pPr>
          </w:p>
        </w:tc>
      </w:tr>
      <w:tr>
        <w:trPr>
          <w:trHeight w:val="180"/>
        </w:trPr>
        <w:tc>
          <w:tcPr>
            <w:tcW w:w="9680" w:type="dxa"/>
            <w:vAlign w:val="bottom"/>
            <w:gridSpan w:val="2"/>
          </w:tcPr>
          <w:p>
            <w:pPr>
              <w:ind w:left="220"/>
              <w:spacing w:after="0"/>
              <w:rPr>
                <w:sz w:val="20"/>
                <w:szCs w:val="20"/>
                <w:color w:val="auto"/>
              </w:rPr>
            </w:pPr>
            <w:r>
              <w:rPr>
                <w:rFonts w:ascii="Arial" w:cs="Arial" w:eastAsia="Arial" w:hAnsi="Arial"/>
                <w:sz w:val="14"/>
                <w:szCs w:val="14"/>
                <w:color w:val="auto"/>
              </w:rPr>
              <w:t>Stock options</w:t>
            </w:r>
          </w:p>
        </w:tc>
        <w:tc>
          <w:tcPr>
            <w:tcW w:w="1580" w:type="dxa"/>
            <w:vAlign w:val="bottom"/>
          </w:tcPr>
          <w:p>
            <w:pPr>
              <w:jc w:val="right"/>
              <w:spacing w:after="0"/>
              <w:rPr>
                <w:sz w:val="20"/>
                <w:szCs w:val="20"/>
                <w:color w:val="auto"/>
              </w:rPr>
            </w:pPr>
            <w:r>
              <w:rPr>
                <w:rFonts w:ascii="Arial" w:cs="Arial" w:eastAsia="Arial" w:hAnsi="Arial"/>
                <w:sz w:val="14"/>
                <w:szCs w:val="14"/>
                <w:color w:val="auto"/>
              </w:rPr>
              <w:t>3,711,635</w:t>
            </w:r>
          </w:p>
        </w:tc>
      </w:tr>
      <w:tr>
        <w:trPr>
          <w:trHeight w:val="181"/>
        </w:trPr>
        <w:tc>
          <w:tcPr>
            <w:tcW w:w="96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Restricted stock units</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1,030,443</w:t>
            </w:r>
          </w:p>
        </w:tc>
      </w:tr>
      <w:tr>
        <w:trPr>
          <w:trHeight w:val="180"/>
        </w:trPr>
        <w:tc>
          <w:tcPr>
            <w:tcW w:w="9680" w:type="dxa"/>
            <w:vAlign w:val="bottom"/>
            <w:gridSpan w:val="2"/>
          </w:tcPr>
          <w:p>
            <w:pPr>
              <w:ind w:left="20"/>
              <w:spacing w:after="0"/>
              <w:rPr>
                <w:sz w:val="20"/>
                <w:szCs w:val="20"/>
                <w:color w:val="auto"/>
              </w:rPr>
            </w:pPr>
            <w:r>
              <w:rPr>
                <w:rFonts w:ascii="Arial" w:cs="Arial" w:eastAsia="Arial" w:hAnsi="Arial"/>
                <w:sz w:val="14"/>
                <w:szCs w:val="14"/>
                <w:color w:val="auto"/>
              </w:rPr>
              <w:t>Shares Reserved For:</w:t>
            </w:r>
          </w:p>
        </w:tc>
        <w:tc>
          <w:tcPr>
            <w:tcW w:w="1580" w:type="dxa"/>
            <w:vAlign w:val="bottom"/>
          </w:tcPr>
          <w:p>
            <w:pPr>
              <w:spacing w:after="0"/>
              <w:rPr>
                <w:sz w:val="15"/>
                <w:szCs w:val="15"/>
                <w:color w:val="auto"/>
              </w:rPr>
            </w:pPr>
          </w:p>
        </w:tc>
      </w:tr>
      <w:tr>
        <w:trPr>
          <w:trHeight w:val="202"/>
        </w:trPr>
        <w:tc>
          <w:tcPr>
            <w:tcW w:w="520" w:type="dxa"/>
            <w:vAlign w:val="bottom"/>
            <w:shd w:val="clear" w:color="auto" w:fill="CCEEFF"/>
          </w:tcPr>
          <w:p>
            <w:pPr>
              <w:ind w:left="220"/>
              <w:spacing w:after="0"/>
              <w:rPr>
                <w:sz w:val="20"/>
                <w:szCs w:val="20"/>
                <w:color w:val="auto"/>
              </w:rPr>
            </w:pPr>
            <w:r>
              <w:rPr>
                <w:rFonts w:ascii="Arial" w:cs="Arial" w:eastAsia="Arial" w:hAnsi="Arial"/>
                <w:sz w:val="14"/>
                <w:szCs w:val="14"/>
                <w:color w:val="auto"/>
                <w:w w:val="89"/>
              </w:rPr>
              <w:t>2017</w:t>
            </w:r>
          </w:p>
        </w:tc>
        <w:tc>
          <w:tcPr>
            <w:tcW w:w="9160" w:type="dxa"/>
            <w:vAlign w:val="bottom"/>
            <w:shd w:val="clear" w:color="auto" w:fill="CCEEFF"/>
          </w:tcPr>
          <w:p>
            <w:pPr>
              <w:spacing w:after="0"/>
              <w:rPr>
                <w:sz w:val="20"/>
                <w:szCs w:val="20"/>
                <w:color w:val="auto"/>
              </w:rPr>
            </w:pPr>
            <w:r>
              <w:rPr>
                <w:rFonts w:ascii="Arial" w:cs="Arial" w:eastAsia="Arial" w:hAnsi="Arial"/>
                <w:sz w:val="14"/>
                <w:szCs w:val="14"/>
                <w:color w:val="auto"/>
              </w:rPr>
              <w:t>Equity Incentive Plan</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2,406,404</w:t>
            </w:r>
          </w:p>
        </w:tc>
      </w:tr>
      <w:tr>
        <w:trPr>
          <w:trHeight w:val="180"/>
        </w:trPr>
        <w:tc>
          <w:tcPr>
            <w:tcW w:w="5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w w:val="89"/>
              </w:rPr>
              <w:t>2017</w:t>
            </w:r>
          </w:p>
        </w:tc>
        <w:tc>
          <w:tcPr>
            <w:tcW w:w="91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Employee Stock Purchase Plan</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1,507,549</w:t>
            </w:r>
          </w:p>
        </w:tc>
      </w:tr>
      <w:tr>
        <w:trPr>
          <w:trHeight w:val="196"/>
        </w:trPr>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916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8,656,031</w:t>
            </w: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91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440" w:right="339" w:bottom="1440" w:gutter="0" w:footer="0" w:header="0"/>
        </w:sectPr>
      </w:pPr>
    </w:p>
    <w:bookmarkStart w:id="19" w:name="page20"/>
    <w:bookmarkEnd w:id="19"/>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Equity Incentive Plans</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2017 Equity Incentive Plan</w:t>
      </w:r>
    </w:p>
    <w:p>
      <w:pPr>
        <w:spacing w:after="0" w:line="94" w:lineRule="exact"/>
        <w:rPr>
          <w:sz w:val="20"/>
          <w:szCs w:val="20"/>
          <w:color w:val="auto"/>
        </w:rPr>
      </w:pPr>
    </w:p>
    <w:p>
      <w:pPr>
        <w:ind w:right="80" w:firstLine="382"/>
        <w:spacing w:after="0" w:line="313" w:lineRule="auto"/>
        <w:rPr>
          <w:sz w:val="20"/>
          <w:szCs w:val="20"/>
          <w:color w:val="auto"/>
        </w:rPr>
      </w:pPr>
      <w:r>
        <w:rPr>
          <w:rFonts w:ascii="Arial" w:cs="Arial" w:eastAsia="Arial" w:hAnsi="Arial"/>
          <w:sz w:val="12"/>
          <w:szCs w:val="12"/>
          <w:color w:val="auto"/>
        </w:rPr>
        <w:t>On January 12, 2017, our board of directors and stockholders approved and adopted the 2017 Equity Incentive Plan (the “2017 Plan”). The 2017 Plan became effective upon the execution and delivery of the underwriting agreement for our initial public offering on January 26, 2017, and replaced our existing 2006 Equity Incentive Plan. Under the 2017 Plan, we may grant stock options, stock appreciation rights, restricted stock, restricted stock units and other awards to individuals who are then our employees, officers, directors or consultants. In addition, the number of shares of stock available for issuance under the 2017 Plan will be automatically increased each January 1, beginning on January 1, 2018, by 4% of the aggregate number of outstanding shares of our common stock as of the immediately preceding December 31 or such lesser number as determined by our board of directors. The 2017 Plan automatically increased by 1,105,890 shares as of January 1, 2022.</w:t>
      </w:r>
    </w:p>
    <w:p>
      <w:pPr>
        <w:spacing w:after="0" w:line="119"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Employee Stock Purchase Plan</w:t>
      </w:r>
    </w:p>
    <w:p>
      <w:pPr>
        <w:spacing w:after="0" w:line="94" w:lineRule="exact"/>
        <w:rPr>
          <w:sz w:val="20"/>
          <w:szCs w:val="20"/>
          <w:color w:val="auto"/>
        </w:rPr>
      </w:pPr>
    </w:p>
    <w:p>
      <w:pPr>
        <w:ind w:right="20" w:firstLine="382"/>
        <w:spacing w:after="0" w:line="258" w:lineRule="auto"/>
        <w:rPr>
          <w:sz w:val="20"/>
          <w:szCs w:val="20"/>
          <w:color w:val="auto"/>
        </w:rPr>
      </w:pPr>
      <w:r>
        <w:rPr>
          <w:rFonts w:ascii="Arial" w:cs="Arial" w:eastAsia="Arial" w:hAnsi="Arial"/>
          <w:sz w:val="14"/>
          <w:szCs w:val="14"/>
          <w:color w:val="auto"/>
        </w:rPr>
        <w:t>On January 12, 2017, our board of directors and stockholders approved and adopted the 2017 Employee Stock Purchase Plan or the ESPP. The ESPP became effective upon the execution and delivery of the underwriting agreement for our initial public offering on January 26, 2017. In addition, the number shares of stock available for issuance under the ESPP will be automatically increased each January 1, beginning on January 1, 2018, by 1% of the aggregate number of outstanding shares of our common stock as of the immediately preceding December 31 or such lesser number as determined by our board of directors. The ESPP automatically increased by 276,472 shares as of January 1, 2022. The initial six month offering period for the ESPP was completed in November 2021 with a subsequent six month offering period commencing thereafter. These offering periods are expected to continue starting in May and November of each year. As of September 30, 2022, 40,160 shares have been issued under the ESPP.</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Stock Options</w:t>
      </w:r>
    </w:p>
    <w:p>
      <w:pPr>
        <w:spacing w:after="0" w:line="94" w:lineRule="exact"/>
        <w:rPr>
          <w:sz w:val="20"/>
          <w:szCs w:val="20"/>
          <w:color w:val="auto"/>
        </w:rPr>
      </w:pPr>
    </w:p>
    <w:p>
      <w:pPr>
        <w:jc w:val="both"/>
        <w:ind w:right="60" w:firstLine="382"/>
        <w:spacing w:after="0" w:line="267" w:lineRule="auto"/>
        <w:rPr>
          <w:sz w:val="20"/>
          <w:szCs w:val="20"/>
          <w:color w:val="auto"/>
        </w:rPr>
      </w:pPr>
      <w:r>
        <w:rPr>
          <w:rFonts w:ascii="Arial" w:cs="Arial" w:eastAsia="Arial" w:hAnsi="Arial"/>
          <w:sz w:val="14"/>
          <w:szCs w:val="14"/>
          <w:color w:val="auto"/>
        </w:rPr>
        <w:t>Stock options granted to employees and non-employees generally vest over a four-year period while stock options granted to directors vest over a one year period. Each stock option award has a maximum term of 10 years from the date of grant, subject to earlier cancellation prior to vesting upon cessation of service to us. A summary of the activity related to stock option awards during the nine months ended September 30, 2022 is as follows:</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127"/>
        </w:trPr>
        <w:tc>
          <w:tcPr>
            <w:tcW w:w="48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3"/>
              </w:rPr>
              <w:t>Weighted-Average</w:t>
            </w:r>
          </w:p>
        </w:tc>
        <w:tc>
          <w:tcPr>
            <w:tcW w:w="3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8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3"/>
              </w:rPr>
              <w:t>Weighted-Average</w:t>
            </w:r>
          </w:p>
        </w:tc>
        <w:tc>
          <w:tcPr>
            <w:tcW w:w="16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5"/>
              </w:rPr>
              <w:t>Remaining</w:t>
            </w:r>
          </w:p>
        </w:tc>
        <w:tc>
          <w:tcPr>
            <w:tcW w:w="300" w:type="dxa"/>
            <w:vAlign w:val="bottom"/>
          </w:tcPr>
          <w:p>
            <w:pPr>
              <w:spacing w:after="0"/>
              <w:rPr>
                <w:sz w:val="11"/>
                <w:szCs w:val="11"/>
                <w:color w:val="auto"/>
              </w:rPr>
            </w:pPr>
          </w:p>
        </w:tc>
        <w:tc>
          <w:tcPr>
            <w:tcW w:w="1240" w:type="dxa"/>
            <w:vAlign w:val="bottom"/>
          </w:tcPr>
          <w:p>
            <w:pPr>
              <w:jc w:val="center"/>
              <w:ind w:right="237"/>
              <w:spacing w:after="0"/>
              <w:rPr>
                <w:sz w:val="20"/>
                <w:szCs w:val="20"/>
                <w:color w:val="auto"/>
              </w:rPr>
            </w:pPr>
            <w:r>
              <w:rPr>
                <w:rFonts w:ascii="Arial" w:cs="Arial" w:eastAsia="Arial" w:hAnsi="Arial"/>
                <w:sz w:val="11"/>
                <w:szCs w:val="11"/>
                <w:b w:val="1"/>
                <w:bCs w:val="1"/>
                <w:color w:val="auto"/>
                <w:w w:val="91"/>
              </w:rPr>
              <w:t>Aggregate</w:t>
            </w:r>
          </w:p>
        </w:tc>
        <w:tc>
          <w:tcPr>
            <w:tcW w:w="0" w:type="dxa"/>
            <w:vAlign w:val="bottom"/>
          </w:tcPr>
          <w:p>
            <w:pPr>
              <w:spacing w:after="0"/>
              <w:rPr>
                <w:sz w:val="1"/>
                <w:szCs w:val="1"/>
                <w:color w:val="auto"/>
              </w:rPr>
            </w:pPr>
          </w:p>
        </w:tc>
      </w:tr>
      <w:tr>
        <w:trPr>
          <w:trHeight w:val="127"/>
        </w:trPr>
        <w:tc>
          <w:tcPr>
            <w:tcW w:w="4840" w:type="dxa"/>
            <w:vAlign w:val="bottom"/>
          </w:tcPr>
          <w:p>
            <w:pPr>
              <w:spacing w:after="0"/>
              <w:rPr>
                <w:sz w:val="11"/>
                <w:szCs w:val="11"/>
                <w:color w:val="auto"/>
              </w:rPr>
            </w:pPr>
          </w:p>
        </w:tc>
        <w:tc>
          <w:tcPr>
            <w:tcW w:w="1520" w:type="dxa"/>
            <w:vAlign w:val="bottom"/>
          </w:tcPr>
          <w:p>
            <w:pPr>
              <w:jc w:val="center"/>
              <w:spacing w:after="0"/>
              <w:rPr>
                <w:sz w:val="20"/>
                <w:szCs w:val="20"/>
                <w:color w:val="auto"/>
              </w:rPr>
            </w:pPr>
            <w:r>
              <w:rPr>
                <w:rFonts w:ascii="Arial" w:cs="Arial" w:eastAsia="Arial" w:hAnsi="Arial"/>
                <w:sz w:val="11"/>
                <w:szCs w:val="11"/>
                <w:b w:val="1"/>
                <w:bCs w:val="1"/>
                <w:color w:val="auto"/>
                <w:w w:val="87"/>
              </w:rPr>
              <w:t>Shares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8"/>
              </w:rPr>
              <w:t>Exercise</w:t>
            </w:r>
          </w:p>
        </w:tc>
        <w:tc>
          <w:tcPr>
            <w:tcW w:w="16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4"/>
              </w:rPr>
              <w:t>Contractual</w:t>
            </w:r>
          </w:p>
        </w:tc>
        <w:tc>
          <w:tcPr>
            <w:tcW w:w="300" w:type="dxa"/>
            <w:vAlign w:val="bottom"/>
          </w:tcPr>
          <w:p>
            <w:pPr>
              <w:spacing w:after="0"/>
              <w:rPr>
                <w:sz w:val="11"/>
                <w:szCs w:val="11"/>
                <w:color w:val="auto"/>
              </w:rPr>
            </w:pPr>
          </w:p>
        </w:tc>
        <w:tc>
          <w:tcPr>
            <w:tcW w:w="1240" w:type="dxa"/>
            <w:vAlign w:val="bottom"/>
          </w:tcPr>
          <w:p>
            <w:pPr>
              <w:jc w:val="center"/>
              <w:ind w:right="237"/>
              <w:spacing w:after="0"/>
              <w:rPr>
                <w:sz w:val="20"/>
                <w:szCs w:val="20"/>
                <w:color w:val="auto"/>
              </w:rPr>
            </w:pPr>
            <w:r>
              <w:rPr>
                <w:rFonts w:ascii="Arial" w:cs="Arial" w:eastAsia="Arial" w:hAnsi="Arial"/>
                <w:sz w:val="11"/>
                <w:szCs w:val="11"/>
                <w:b w:val="1"/>
                <w:bCs w:val="1"/>
                <w:color w:val="auto"/>
                <w:w w:val="98"/>
              </w:rPr>
              <w:t>Intrinsic</w:t>
            </w:r>
          </w:p>
        </w:tc>
        <w:tc>
          <w:tcPr>
            <w:tcW w:w="0" w:type="dxa"/>
            <w:vAlign w:val="bottom"/>
          </w:tcPr>
          <w:p>
            <w:pPr>
              <w:spacing w:after="0"/>
              <w:rPr>
                <w:sz w:val="1"/>
                <w:szCs w:val="1"/>
                <w:color w:val="auto"/>
              </w:rPr>
            </w:pPr>
          </w:p>
        </w:tc>
      </w:tr>
      <w:tr>
        <w:trPr>
          <w:trHeight w:val="127"/>
        </w:trPr>
        <w:tc>
          <w:tcPr>
            <w:tcW w:w="4840" w:type="dxa"/>
            <w:vAlign w:val="bottom"/>
          </w:tcPr>
          <w:p>
            <w:pPr>
              <w:spacing w:after="0"/>
              <w:rPr>
                <w:sz w:val="11"/>
                <w:szCs w:val="11"/>
                <w:color w:val="auto"/>
              </w:rPr>
            </w:pPr>
          </w:p>
        </w:tc>
        <w:tc>
          <w:tcPr>
            <w:tcW w:w="1520" w:type="dxa"/>
            <w:vAlign w:val="bottom"/>
          </w:tcPr>
          <w:p>
            <w:pPr>
              <w:jc w:val="center"/>
              <w:spacing w:after="0"/>
              <w:rPr>
                <w:sz w:val="20"/>
                <w:szCs w:val="20"/>
                <w:color w:val="auto"/>
              </w:rPr>
            </w:pPr>
            <w:r>
              <w:rPr>
                <w:rFonts w:ascii="Arial" w:cs="Arial" w:eastAsia="Arial" w:hAnsi="Arial"/>
                <w:sz w:val="11"/>
                <w:szCs w:val="11"/>
                <w:b w:val="1"/>
                <w:bCs w:val="1"/>
                <w:color w:val="auto"/>
                <w:w w:val="90"/>
              </w:rPr>
              <w:t>Subject to</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3"/>
              </w:rPr>
              <w:t>Price per</w:t>
            </w:r>
          </w:p>
        </w:tc>
        <w:tc>
          <w:tcPr>
            <w:tcW w:w="16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6"/>
              </w:rPr>
              <w:t>Term</w:t>
            </w:r>
          </w:p>
        </w:tc>
        <w:tc>
          <w:tcPr>
            <w:tcW w:w="300" w:type="dxa"/>
            <w:vAlign w:val="bottom"/>
          </w:tcPr>
          <w:p>
            <w:pPr>
              <w:spacing w:after="0"/>
              <w:rPr>
                <w:sz w:val="11"/>
                <w:szCs w:val="11"/>
                <w:color w:val="auto"/>
              </w:rPr>
            </w:pPr>
          </w:p>
        </w:tc>
        <w:tc>
          <w:tcPr>
            <w:tcW w:w="1240" w:type="dxa"/>
            <w:vAlign w:val="bottom"/>
          </w:tcPr>
          <w:p>
            <w:pPr>
              <w:jc w:val="center"/>
              <w:ind w:right="237"/>
              <w:spacing w:after="0"/>
              <w:rPr>
                <w:sz w:val="20"/>
                <w:szCs w:val="20"/>
                <w:color w:val="auto"/>
              </w:rPr>
            </w:pPr>
            <w:r>
              <w:rPr>
                <w:rFonts w:ascii="Arial" w:cs="Arial" w:eastAsia="Arial" w:hAnsi="Arial"/>
                <w:sz w:val="11"/>
                <w:szCs w:val="11"/>
                <w:b w:val="1"/>
                <w:bCs w:val="1"/>
                <w:color w:val="auto"/>
                <w:w w:val="91"/>
              </w:rPr>
              <w:t>Value (in</w:t>
            </w:r>
          </w:p>
        </w:tc>
        <w:tc>
          <w:tcPr>
            <w:tcW w:w="0" w:type="dxa"/>
            <w:vAlign w:val="bottom"/>
          </w:tcPr>
          <w:p>
            <w:pPr>
              <w:spacing w:after="0"/>
              <w:rPr>
                <w:sz w:val="1"/>
                <w:szCs w:val="1"/>
                <w:color w:val="auto"/>
              </w:rPr>
            </w:pPr>
          </w:p>
        </w:tc>
      </w:tr>
      <w:tr>
        <w:trPr>
          <w:trHeight w:val="156"/>
        </w:trPr>
        <w:tc>
          <w:tcPr>
            <w:tcW w:w="484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Arial" w:cs="Arial" w:eastAsia="Arial" w:hAnsi="Arial"/>
                <w:sz w:val="11"/>
                <w:szCs w:val="11"/>
                <w:b w:val="1"/>
                <w:bCs w:val="1"/>
                <w:color w:val="auto"/>
                <w:w w:val="91"/>
              </w:rPr>
              <w:t>Options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1"/>
              </w:rPr>
              <w:t>Share</w:t>
            </w:r>
          </w:p>
        </w:tc>
        <w:tc>
          <w:tcPr>
            <w:tcW w:w="16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3"/>
              </w:rPr>
              <w:t>(in years)</w:t>
            </w:r>
          </w:p>
        </w:tc>
        <w:tc>
          <w:tcPr>
            <w:tcW w:w="300" w:type="dxa"/>
            <w:vAlign w:val="bottom"/>
          </w:tcPr>
          <w:p>
            <w:pPr>
              <w:spacing w:after="0"/>
              <w:rPr>
                <w:sz w:val="13"/>
                <w:szCs w:val="13"/>
                <w:color w:val="auto"/>
              </w:rPr>
            </w:pPr>
          </w:p>
        </w:tc>
        <w:tc>
          <w:tcPr>
            <w:tcW w:w="1240" w:type="dxa"/>
            <w:vAlign w:val="bottom"/>
          </w:tcPr>
          <w:p>
            <w:pPr>
              <w:jc w:val="center"/>
              <w:ind w:right="237"/>
              <w:spacing w:after="0"/>
              <w:rPr>
                <w:sz w:val="20"/>
                <w:szCs w:val="20"/>
                <w:color w:val="auto"/>
              </w:rPr>
            </w:pPr>
            <w:r>
              <w:rPr>
                <w:rFonts w:ascii="Arial" w:cs="Arial" w:eastAsia="Arial" w:hAnsi="Arial"/>
                <w:sz w:val="11"/>
                <w:szCs w:val="11"/>
                <w:b w:val="1"/>
                <w:bCs w:val="1"/>
                <w:color w:val="auto"/>
                <w:w w:val="91"/>
              </w:rPr>
              <w:t>thousands)</w:t>
            </w:r>
          </w:p>
        </w:tc>
        <w:tc>
          <w:tcPr>
            <w:tcW w:w="0" w:type="dxa"/>
            <w:vAlign w:val="bottom"/>
          </w:tcPr>
          <w:p>
            <w:pPr>
              <w:spacing w:after="0"/>
              <w:rPr>
                <w:sz w:val="1"/>
                <w:szCs w:val="1"/>
                <w:color w:val="auto"/>
              </w:rPr>
            </w:pPr>
          </w:p>
        </w:tc>
      </w:tr>
      <w:tr>
        <w:trPr>
          <w:trHeight w:val="180"/>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January 1, 2022</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3,460,295</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28.84</w:t>
            </w: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7.17</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42,987</w:t>
            </w:r>
          </w:p>
        </w:tc>
        <w:tc>
          <w:tcPr>
            <w:tcW w:w="0" w:type="dxa"/>
            <w:vAlign w:val="bottom"/>
          </w:tcPr>
          <w:p>
            <w:pPr>
              <w:spacing w:after="0"/>
              <w:rPr>
                <w:sz w:val="1"/>
                <w:szCs w:val="1"/>
                <w:color w:val="auto"/>
              </w:rPr>
            </w:pPr>
          </w:p>
        </w:tc>
      </w:tr>
      <w:tr>
        <w:trPr>
          <w:trHeight w:val="180"/>
        </w:trPr>
        <w:tc>
          <w:tcPr>
            <w:tcW w:w="4840" w:type="dxa"/>
            <w:vAlign w:val="bottom"/>
          </w:tcPr>
          <w:p>
            <w:pPr>
              <w:ind w:left="20"/>
              <w:spacing w:after="0"/>
              <w:rPr>
                <w:sz w:val="20"/>
                <w:szCs w:val="20"/>
                <w:color w:val="auto"/>
              </w:rPr>
            </w:pPr>
            <w:r>
              <w:rPr>
                <w:rFonts w:ascii="Arial" w:cs="Arial" w:eastAsia="Arial" w:hAnsi="Arial"/>
                <w:sz w:val="14"/>
                <w:szCs w:val="14"/>
                <w:color w:val="auto"/>
              </w:rPr>
              <w:t>Granted</w:t>
            </w:r>
          </w:p>
        </w:tc>
        <w:tc>
          <w:tcPr>
            <w:tcW w:w="1520" w:type="dxa"/>
            <w:vAlign w:val="bottom"/>
          </w:tcPr>
          <w:p>
            <w:pPr>
              <w:jc w:val="right"/>
              <w:spacing w:after="0"/>
              <w:rPr>
                <w:sz w:val="20"/>
                <w:szCs w:val="20"/>
                <w:color w:val="auto"/>
              </w:rPr>
            </w:pPr>
            <w:r>
              <w:rPr>
                <w:rFonts w:ascii="Arial" w:cs="Arial" w:eastAsia="Arial" w:hAnsi="Arial"/>
                <w:sz w:val="14"/>
                <w:szCs w:val="14"/>
                <w:color w:val="auto"/>
              </w:rPr>
              <w:t>1,339,720</w:t>
            </w:r>
          </w:p>
        </w:tc>
        <w:tc>
          <w:tcPr>
            <w:tcW w:w="30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29.44</w:t>
            </w: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Exercises</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(685,970)</w:t>
            </w:r>
          </w:p>
        </w:tc>
        <w:tc>
          <w:tcPr>
            <w:tcW w:w="30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11.72</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Forfeitures and cancellations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(402,410)</w:t>
            </w:r>
          </w:p>
        </w:tc>
        <w:tc>
          <w:tcPr>
            <w:tcW w:w="300" w:type="dxa"/>
            <w:vAlign w:val="bottom"/>
            <w:tcBorders>
              <w:bottom w:val="single" w:sz="8" w:color="CCEEFF"/>
            </w:tcBorders>
            <w:gridSpan w:val="2"/>
          </w:tcPr>
          <w:p>
            <w:pPr>
              <w:jc w:val="right"/>
              <w:ind w:right="4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31.26</w:t>
            </w: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September 30,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3,711,635</w:t>
            </w:r>
          </w:p>
        </w:tc>
        <w:tc>
          <w:tcPr>
            <w:tcW w:w="300" w:type="dxa"/>
            <w:vAlign w:val="bottom"/>
            <w:tcBorders>
              <w:bottom w:val="single" w:sz="8" w:color="CCEEFF"/>
            </w:tcBorders>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31.96</w:t>
            </w:r>
          </w:p>
        </w:tc>
        <w:tc>
          <w:tcPr>
            <w:tcW w:w="1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6.24</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10,248</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Exercisable at September 30, 2022</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gridSpan w:val="2"/>
            <w:vMerge w:val="restart"/>
          </w:tcPr>
          <w:p>
            <w:pPr>
              <w:jc w:val="right"/>
              <w:ind w:right="49"/>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36.71</w:t>
            </w: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5.43</w:t>
            </w: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jc w:val="right"/>
              <w:ind w:right="129"/>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6,713</w:t>
            </w:r>
          </w:p>
        </w:tc>
        <w:tc>
          <w:tcPr>
            <w:tcW w:w="0" w:type="dxa"/>
            <w:vAlign w:val="bottom"/>
          </w:tcPr>
          <w:p>
            <w:pPr>
              <w:spacing w:after="0" w:line="20" w:lineRule="exact"/>
              <w:rPr>
                <w:sz w:val="1"/>
                <w:szCs w:val="1"/>
                <w:color w:val="auto"/>
              </w:rPr>
            </w:pPr>
          </w:p>
        </w:tc>
      </w:tr>
      <w:tr>
        <w:trPr>
          <w:trHeight w:val="142"/>
        </w:trPr>
        <w:tc>
          <w:tcPr>
            <w:tcW w:w="4840" w:type="dxa"/>
            <w:vAlign w:val="bottom"/>
            <w:vMerge w:val="continue"/>
          </w:tcPr>
          <w:p>
            <w:pPr>
              <w:spacing w:after="0"/>
              <w:rPr>
                <w:sz w:val="12"/>
                <w:szCs w:val="12"/>
                <w:color w:val="auto"/>
              </w:rPr>
            </w:pPr>
          </w:p>
        </w:tc>
        <w:tc>
          <w:tcPr>
            <w:tcW w:w="1520" w:type="dxa"/>
            <w:vAlign w:val="bottom"/>
          </w:tcPr>
          <w:p>
            <w:pPr>
              <w:jc w:val="right"/>
              <w:spacing w:after="0" w:line="143" w:lineRule="exact"/>
              <w:rPr>
                <w:sz w:val="20"/>
                <w:szCs w:val="20"/>
                <w:color w:val="auto"/>
              </w:rPr>
            </w:pPr>
            <w:r>
              <w:rPr>
                <w:rFonts w:ascii="Arial" w:cs="Arial" w:eastAsia="Arial" w:hAnsi="Arial"/>
                <w:sz w:val="14"/>
                <w:szCs w:val="14"/>
                <w:color w:val="auto"/>
              </w:rPr>
              <w:t>1,761,210</w:t>
            </w:r>
          </w:p>
        </w:tc>
        <w:tc>
          <w:tcPr>
            <w:tcW w:w="300" w:type="dxa"/>
            <w:vAlign w:val="bottom"/>
            <w:gridSpan w:val="2"/>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Time-based Restricted Stock Units</w:t>
      </w:r>
    </w:p>
    <w:p>
      <w:pPr>
        <w:spacing w:after="0" w:line="94" w:lineRule="exact"/>
        <w:rPr>
          <w:sz w:val="20"/>
          <w:szCs w:val="20"/>
          <w:color w:val="auto"/>
        </w:rPr>
      </w:pPr>
    </w:p>
    <w:p>
      <w:pPr>
        <w:ind w:right="40" w:firstLine="191"/>
        <w:spacing w:after="0" w:line="267" w:lineRule="auto"/>
        <w:rPr>
          <w:sz w:val="20"/>
          <w:szCs w:val="20"/>
          <w:color w:val="auto"/>
        </w:rPr>
      </w:pPr>
      <w:r>
        <w:rPr>
          <w:rFonts w:ascii="Arial" w:cs="Arial" w:eastAsia="Arial" w:hAnsi="Arial"/>
          <w:sz w:val="14"/>
          <w:szCs w:val="14"/>
          <w:color w:val="auto"/>
        </w:rPr>
        <w:t>Each Restricted Stock Unit (“RSUs”) represents one equivalent share of our common stock to be issued after satisfying the applicable continued service-based vesting criteria over a specified period. The fair value of these RSUs is based on the closing price of our common stock on the date of the grant. We measure compensation expense over the expected vesting period on a straight-line basis. The RSUs do not entitle the participants to the rights of holders of common stock, such as voting rights, until the shares are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27"/>
        </w:trPr>
        <w:tc>
          <w:tcPr>
            <w:tcW w:w="5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jc w:val="center"/>
              <w:ind w:left="203"/>
              <w:spacing w:after="0"/>
              <w:rPr>
                <w:sz w:val="20"/>
                <w:szCs w:val="20"/>
                <w:color w:val="auto"/>
              </w:rPr>
            </w:pPr>
            <w:r>
              <w:rPr>
                <w:rFonts w:ascii="Arial" w:cs="Arial" w:eastAsia="Arial" w:hAnsi="Arial"/>
                <w:sz w:val="11"/>
                <w:szCs w:val="11"/>
                <w:b w:val="1"/>
                <w:bCs w:val="1"/>
                <w:color w:val="auto"/>
                <w:w w:val="91"/>
              </w:rPr>
              <w:t>Weighted-Average</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5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ind w:left="203"/>
              <w:spacing w:after="0"/>
              <w:rPr>
                <w:sz w:val="20"/>
                <w:szCs w:val="20"/>
                <w:color w:val="auto"/>
              </w:rPr>
            </w:pPr>
            <w:r>
              <w:rPr>
                <w:rFonts w:ascii="Arial" w:cs="Arial" w:eastAsia="Arial" w:hAnsi="Arial"/>
                <w:sz w:val="11"/>
                <w:szCs w:val="11"/>
                <w:b w:val="1"/>
                <w:bCs w:val="1"/>
                <w:color w:val="auto"/>
                <w:w w:val="92"/>
              </w:rPr>
              <w:t>Remaining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center"/>
              <w:ind w:right="217"/>
              <w:spacing w:after="0"/>
              <w:rPr>
                <w:sz w:val="20"/>
                <w:szCs w:val="20"/>
                <w:color w:val="auto"/>
              </w:rPr>
            </w:pPr>
            <w:r>
              <w:rPr>
                <w:rFonts w:ascii="Arial" w:cs="Arial" w:eastAsia="Arial" w:hAnsi="Arial"/>
                <w:sz w:val="11"/>
                <w:szCs w:val="11"/>
                <w:b w:val="1"/>
                <w:bCs w:val="1"/>
                <w:color w:val="auto"/>
                <w:w w:val="88"/>
              </w:rPr>
              <w:t>Aggregate</w:t>
            </w:r>
          </w:p>
        </w:tc>
        <w:tc>
          <w:tcPr>
            <w:tcW w:w="0" w:type="dxa"/>
            <w:vAlign w:val="bottom"/>
          </w:tcPr>
          <w:p>
            <w:pPr>
              <w:spacing w:after="0"/>
              <w:rPr>
                <w:sz w:val="1"/>
                <w:szCs w:val="1"/>
                <w:color w:val="auto"/>
              </w:rPr>
            </w:pPr>
          </w:p>
        </w:tc>
      </w:tr>
      <w:tr>
        <w:trPr>
          <w:trHeight w:val="117"/>
        </w:trPr>
        <w:tc>
          <w:tcPr>
            <w:tcW w:w="52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3"/>
              </w:rPr>
              <w:t>Weighted-Average Grant</w:t>
            </w:r>
          </w:p>
        </w:tc>
        <w:tc>
          <w:tcPr>
            <w:tcW w:w="1140" w:type="dxa"/>
            <w:vAlign w:val="bottom"/>
          </w:tcPr>
          <w:p>
            <w:pPr>
              <w:jc w:val="center"/>
              <w:ind w:left="223"/>
              <w:spacing w:after="0" w:line="117" w:lineRule="exact"/>
              <w:rPr>
                <w:sz w:val="20"/>
                <w:szCs w:val="20"/>
                <w:color w:val="auto"/>
              </w:rPr>
            </w:pPr>
            <w:r>
              <w:rPr>
                <w:rFonts w:ascii="Arial" w:cs="Arial" w:eastAsia="Arial" w:hAnsi="Arial"/>
                <w:sz w:val="11"/>
                <w:szCs w:val="11"/>
                <w:b w:val="1"/>
                <w:bCs w:val="1"/>
                <w:color w:val="auto"/>
                <w:w w:val="94"/>
              </w:rPr>
              <w:t>Contractual</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jc w:val="center"/>
              <w:ind w:right="217"/>
              <w:spacing w:after="0" w:line="117" w:lineRule="exact"/>
              <w:rPr>
                <w:sz w:val="20"/>
                <w:szCs w:val="20"/>
                <w:color w:val="auto"/>
              </w:rPr>
            </w:pPr>
            <w:r>
              <w:rPr>
                <w:rFonts w:ascii="Arial" w:cs="Arial" w:eastAsia="Arial" w:hAnsi="Arial"/>
                <w:sz w:val="11"/>
                <w:szCs w:val="11"/>
                <w:b w:val="1"/>
                <w:bCs w:val="1"/>
                <w:color w:val="auto"/>
                <w:w w:val="93"/>
              </w:rPr>
              <w:t>Intrinsic</w:t>
            </w:r>
          </w:p>
        </w:tc>
        <w:tc>
          <w:tcPr>
            <w:tcW w:w="0" w:type="dxa"/>
            <w:vAlign w:val="bottom"/>
          </w:tcPr>
          <w:p>
            <w:pPr>
              <w:spacing w:after="0"/>
              <w:rPr>
                <w:sz w:val="1"/>
                <w:szCs w:val="1"/>
                <w:color w:val="auto"/>
              </w:rPr>
            </w:pPr>
          </w:p>
        </w:tc>
      </w:tr>
      <w:tr>
        <w:trPr>
          <w:trHeight w:val="117"/>
        </w:trPr>
        <w:tc>
          <w:tcPr>
            <w:tcW w:w="5200" w:type="dxa"/>
            <w:vAlign w:val="bottom"/>
          </w:tcPr>
          <w:p>
            <w:pPr>
              <w:spacing w:after="0"/>
              <w:rPr>
                <w:sz w:val="10"/>
                <w:szCs w:val="10"/>
                <w:color w:val="auto"/>
              </w:rPr>
            </w:pPr>
          </w:p>
        </w:tc>
        <w:tc>
          <w:tcPr>
            <w:tcW w:w="1420" w:type="dxa"/>
            <w:vAlign w:val="bottom"/>
            <w:vMerge w:val="restart"/>
          </w:tcPr>
          <w:p>
            <w:pPr>
              <w:jc w:val="right"/>
              <w:ind w:right="211"/>
              <w:spacing w:after="0"/>
              <w:rPr>
                <w:sz w:val="20"/>
                <w:szCs w:val="20"/>
                <w:color w:val="auto"/>
              </w:rPr>
            </w:pPr>
            <w:r>
              <w:rPr>
                <w:rFonts w:ascii="Arial" w:cs="Arial" w:eastAsia="Arial" w:hAnsi="Arial"/>
                <w:sz w:val="11"/>
                <w:szCs w:val="11"/>
                <w:b w:val="1"/>
                <w:bCs w:val="1"/>
                <w:color w:val="auto"/>
              </w:rPr>
              <w:t>Number of Shares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140" w:type="dxa"/>
            <w:vAlign w:val="bottom"/>
          </w:tcPr>
          <w:p>
            <w:pPr>
              <w:jc w:val="center"/>
              <w:ind w:left="223"/>
              <w:spacing w:after="0" w:line="117" w:lineRule="exact"/>
              <w:rPr>
                <w:sz w:val="20"/>
                <w:szCs w:val="20"/>
                <w:color w:val="auto"/>
              </w:rPr>
            </w:pPr>
            <w:r>
              <w:rPr>
                <w:rFonts w:ascii="Arial" w:cs="Arial" w:eastAsia="Arial" w:hAnsi="Arial"/>
                <w:sz w:val="11"/>
                <w:szCs w:val="11"/>
                <w:b w:val="1"/>
                <w:bCs w:val="1"/>
                <w:color w:val="auto"/>
                <w:w w:val="96"/>
              </w:rPr>
              <w:t>Term</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60" w:type="dxa"/>
            <w:vAlign w:val="bottom"/>
          </w:tcPr>
          <w:p>
            <w:pPr>
              <w:jc w:val="center"/>
              <w:ind w:right="217"/>
              <w:spacing w:after="0" w:line="117" w:lineRule="exact"/>
              <w:rPr>
                <w:sz w:val="20"/>
                <w:szCs w:val="20"/>
                <w:color w:val="auto"/>
              </w:rPr>
            </w:pPr>
            <w:r>
              <w:rPr>
                <w:rFonts w:ascii="Arial" w:cs="Arial" w:eastAsia="Arial" w:hAnsi="Arial"/>
                <w:sz w:val="11"/>
                <w:szCs w:val="11"/>
                <w:b w:val="1"/>
                <w:bCs w:val="1"/>
                <w:color w:val="auto"/>
                <w:w w:val="95"/>
              </w:rPr>
              <w:t>Value (in</w:t>
            </w:r>
          </w:p>
        </w:tc>
        <w:tc>
          <w:tcPr>
            <w:tcW w:w="0" w:type="dxa"/>
            <w:vAlign w:val="bottom"/>
          </w:tcPr>
          <w:p>
            <w:pPr>
              <w:spacing w:after="0"/>
              <w:rPr>
                <w:sz w:val="1"/>
                <w:szCs w:val="1"/>
                <w:color w:val="auto"/>
              </w:rPr>
            </w:pPr>
          </w:p>
        </w:tc>
      </w:tr>
      <w:tr>
        <w:trPr>
          <w:trHeight w:val="155"/>
        </w:trPr>
        <w:tc>
          <w:tcPr>
            <w:tcW w:w="52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5"/>
              </w:rPr>
              <w:t>Date Fair Value</w:t>
            </w:r>
          </w:p>
        </w:tc>
        <w:tc>
          <w:tcPr>
            <w:tcW w:w="1140" w:type="dxa"/>
            <w:vAlign w:val="bottom"/>
          </w:tcPr>
          <w:p>
            <w:pPr>
              <w:jc w:val="center"/>
              <w:ind w:left="223"/>
              <w:spacing w:after="0"/>
              <w:rPr>
                <w:sz w:val="20"/>
                <w:szCs w:val="20"/>
                <w:color w:val="auto"/>
              </w:rPr>
            </w:pPr>
            <w:r>
              <w:rPr>
                <w:rFonts w:ascii="Arial" w:cs="Arial" w:eastAsia="Arial" w:hAnsi="Arial"/>
                <w:sz w:val="11"/>
                <w:szCs w:val="11"/>
                <w:b w:val="1"/>
                <w:bCs w:val="1"/>
                <w:color w:val="auto"/>
                <w:w w:val="93"/>
              </w:rPr>
              <w:t>(in years)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jc w:val="center"/>
              <w:ind w:right="217"/>
              <w:spacing w:after="0"/>
              <w:rPr>
                <w:sz w:val="20"/>
                <w:szCs w:val="20"/>
                <w:color w:val="auto"/>
              </w:rPr>
            </w:pPr>
            <w:r>
              <w:rPr>
                <w:rFonts w:ascii="Arial" w:cs="Arial" w:eastAsia="Arial" w:hAnsi="Arial"/>
                <w:sz w:val="11"/>
                <w:szCs w:val="11"/>
                <w:b w:val="1"/>
                <w:bCs w:val="1"/>
                <w:color w:val="auto"/>
                <w:w w:val="87"/>
              </w:rPr>
              <w:t>thousands)</w:t>
            </w:r>
          </w:p>
        </w:tc>
        <w:tc>
          <w:tcPr>
            <w:tcW w:w="0" w:type="dxa"/>
            <w:vAlign w:val="bottom"/>
          </w:tcPr>
          <w:p>
            <w:pPr>
              <w:spacing w:after="0"/>
              <w:rPr>
                <w:sz w:val="1"/>
                <w:szCs w:val="1"/>
                <w:color w:val="auto"/>
              </w:rPr>
            </w:pPr>
          </w:p>
        </w:tc>
      </w:tr>
      <w:tr>
        <w:trPr>
          <w:trHeight w:val="175"/>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January 1, 2022</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5200" w:type="dxa"/>
            <w:vAlign w:val="bottom"/>
          </w:tcPr>
          <w:p>
            <w:pPr>
              <w:ind w:left="20"/>
              <w:spacing w:after="0"/>
              <w:rPr>
                <w:sz w:val="20"/>
                <w:szCs w:val="20"/>
                <w:color w:val="auto"/>
              </w:rPr>
            </w:pPr>
            <w:r>
              <w:rPr>
                <w:rFonts w:ascii="Arial" w:cs="Arial" w:eastAsia="Arial" w:hAnsi="Arial"/>
                <w:sz w:val="14"/>
                <w:szCs w:val="14"/>
                <w:color w:val="auto"/>
              </w:rPr>
              <w:t>Granted</w:t>
            </w:r>
          </w:p>
        </w:tc>
        <w:tc>
          <w:tcPr>
            <w:tcW w:w="1420" w:type="dxa"/>
            <w:vAlign w:val="bottom"/>
          </w:tcPr>
          <w:p>
            <w:pPr>
              <w:jc w:val="right"/>
              <w:spacing w:after="0"/>
              <w:rPr>
                <w:sz w:val="20"/>
                <w:szCs w:val="20"/>
                <w:color w:val="auto"/>
              </w:rPr>
            </w:pPr>
            <w:r>
              <w:rPr>
                <w:rFonts w:ascii="Arial" w:cs="Arial" w:eastAsia="Arial" w:hAnsi="Arial"/>
                <w:sz w:val="14"/>
                <w:szCs w:val="14"/>
                <w:color w:val="auto"/>
              </w:rPr>
              <w:t>1,030,443</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26.14</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Cancelled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September 30,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1,030,443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26.14</w:t>
            </w:r>
          </w:p>
        </w:tc>
        <w:tc>
          <w:tcPr>
            <w:tcW w:w="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7"/>
              </w:rPr>
              <w:t>1.43</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26,287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Restricted Stock Units expected to vest at September 30, 2022</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26.14</w:t>
            </w: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w w:val="87"/>
              </w:rPr>
              <w:t>1.43</w:t>
            </w: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jc w:val="right"/>
              <w:ind w:right="129"/>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26,287</w:t>
            </w:r>
          </w:p>
        </w:tc>
        <w:tc>
          <w:tcPr>
            <w:tcW w:w="0" w:type="dxa"/>
            <w:vAlign w:val="bottom"/>
          </w:tcPr>
          <w:p>
            <w:pPr>
              <w:spacing w:after="0" w:line="20" w:lineRule="exact"/>
              <w:rPr>
                <w:sz w:val="1"/>
                <w:szCs w:val="1"/>
                <w:color w:val="auto"/>
              </w:rPr>
            </w:pPr>
          </w:p>
        </w:tc>
      </w:tr>
      <w:tr>
        <w:trPr>
          <w:trHeight w:val="142"/>
        </w:trPr>
        <w:tc>
          <w:tcPr>
            <w:tcW w:w="5200" w:type="dxa"/>
            <w:vAlign w:val="bottom"/>
            <w:vMerge w:val="continue"/>
          </w:tcPr>
          <w:p>
            <w:pPr>
              <w:spacing w:after="0"/>
              <w:rPr>
                <w:sz w:val="12"/>
                <w:szCs w:val="12"/>
                <w:color w:val="auto"/>
              </w:rPr>
            </w:pPr>
          </w:p>
        </w:tc>
        <w:tc>
          <w:tcPr>
            <w:tcW w:w="1420" w:type="dxa"/>
            <w:vAlign w:val="bottom"/>
          </w:tcPr>
          <w:p>
            <w:pPr>
              <w:jc w:val="right"/>
              <w:spacing w:after="0" w:line="143" w:lineRule="exact"/>
              <w:rPr>
                <w:sz w:val="20"/>
                <w:szCs w:val="20"/>
                <w:color w:val="auto"/>
              </w:rPr>
            </w:pPr>
            <w:r>
              <w:rPr>
                <w:rFonts w:ascii="Arial" w:cs="Arial" w:eastAsia="Arial" w:hAnsi="Arial"/>
                <w:sz w:val="14"/>
                <w:szCs w:val="14"/>
                <w:color w:val="auto"/>
              </w:rPr>
              <w:t>1,030,443</w:t>
            </w:r>
          </w:p>
        </w:tc>
        <w:tc>
          <w:tcPr>
            <w:tcW w:w="200" w:type="dxa"/>
            <w:vAlign w:val="bottom"/>
            <w:gridSpan w:val="2"/>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Stock-Based Compensation Expense</w:t>
      </w:r>
    </w:p>
    <w:p>
      <w:pPr>
        <w:spacing w:after="0" w:line="94" w:lineRule="exact"/>
        <w:rPr>
          <w:sz w:val="20"/>
          <w:szCs w:val="20"/>
          <w:color w:val="auto"/>
        </w:rPr>
      </w:pPr>
    </w:p>
    <w:p>
      <w:pPr>
        <w:ind w:right="40" w:firstLine="382"/>
        <w:spacing w:after="0" w:line="260" w:lineRule="auto"/>
        <w:rPr>
          <w:sz w:val="20"/>
          <w:szCs w:val="20"/>
          <w:color w:val="auto"/>
        </w:rPr>
      </w:pPr>
      <w:r>
        <w:rPr>
          <w:rFonts w:ascii="Arial" w:cs="Arial" w:eastAsia="Arial" w:hAnsi="Arial"/>
          <w:sz w:val="14"/>
          <w:szCs w:val="14"/>
          <w:color w:val="auto"/>
        </w:rPr>
        <w:t>We recognize stock-based compensation expense for awards issued to employees and non-employees over the requisite service period based on the estimated grant-date fair value of such awards. We record the expense for stock-based compensation awards subject to performance-based milestone vesting over the requisite service period when management determines that achievement of the milestone is probable. Management evaluates when the achievement of a performance-based milestone is probable based on the expected satisfaction of the performance conditions at each reporting date. The estimated fair values of stock option awards granted to employees were determined on the date of grant using the Black-Scholes option valuation model with the following weighted-average assumptions:</w:t>
      </w:r>
    </w:p>
    <w:p>
      <w:pPr>
        <w:spacing w:after="0" w:line="76" w:lineRule="exact"/>
        <w:rPr>
          <w:sz w:val="20"/>
          <w:szCs w:val="20"/>
          <w:color w:val="auto"/>
        </w:rPr>
      </w:pPr>
    </w:p>
    <w:p>
      <w:pPr>
        <w:jc w:val="center"/>
        <w:ind w:left="7560"/>
        <w:spacing w:after="0"/>
        <w:rPr>
          <w:sz w:val="20"/>
          <w:szCs w:val="20"/>
          <w:color w:val="auto"/>
        </w:rPr>
      </w:pPr>
      <w:r>
        <w:rPr>
          <w:rFonts w:ascii="Arial" w:cs="Arial" w:eastAsia="Arial" w:hAnsi="Arial"/>
          <w:sz w:val="11"/>
          <w:szCs w:val="11"/>
          <w:b w:val="1"/>
          <w:bCs w:val="1"/>
          <w:color w:val="auto"/>
        </w:rPr>
        <w:t>Nine Months Ended</w:t>
      </w:r>
    </w:p>
    <w:p>
      <w:pPr>
        <w:spacing w:after="0" w:line="2" w:lineRule="exact"/>
        <w:rPr>
          <w:sz w:val="20"/>
          <w:szCs w:val="20"/>
          <w:color w:val="auto"/>
        </w:rPr>
      </w:pPr>
    </w:p>
    <w:p>
      <w:pPr>
        <w:jc w:val="center"/>
        <w:ind w:left="7560"/>
        <w:spacing w:after="0"/>
        <w:rPr>
          <w:sz w:val="20"/>
          <w:szCs w:val="20"/>
          <w:color w:val="auto"/>
        </w:rPr>
      </w:pPr>
      <w:r>
        <w:rPr>
          <w:rFonts w:ascii="Arial" w:cs="Arial" w:eastAsia="Arial" w:hAnsi="Arial"/>
          <w:sz w:val="11"/>
          <w:szCs w:val="11"/>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756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rPr>
              <w:t>2022</w:t>
            </w:r>
          </w:p>
        </w:tc>
        <w:tc>
          <w:tcPr>
            <w:tcW w:w="48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1"/>
                <w:szCs w:val="11"/>
                <w:b w:val="1"/>
                <w:bCs w:val="1"/>
                <w:color w:val="auto"/>
              </w:rPr>
              <w:t>2021</w:t>
            </w:r>
          </w:p>
        </w:tc>
        <w:tc>
          <w:tcPr>
            <w:tcW w:w="220" w:type="dxa"/>
            <w:vAlign w:val="bottom"/>
            <w:tcBorders>
              <w:top w:val="single" w:sz="8" w:color="auto"/>
              <w:bottom w:val="single" w:sz="8" w:color="auto"/>
            </w:tcBorders>
          </w:tcPr>
          <w:p>
            <w:pPr>
              <w:spacing w:after="0"/>
              <w:rPr>
                <w:sz w:val="13"/>
                <w:szCs w:val="13"/>
                <w:color w:val="auto"/>
              </w:rPr>
            </w:pPr>
          </w:p>
        </w:tc>
      </w:tr>
      <w:tr>
        <w:trPr>
          <w:trHeight w:val="177"/>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Risk-free interest rate</w:t>
            </w: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rPr>
              <w:t>2.2</w:t>
            </w:r>
          </w:p>
        </w:tc>
        <w:tc>
          <w:tcPr>
            <w:tcW w:w="28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92"/>
              <w:spacing w:after="0"/>
              <w:rPr>
                <w:sz w:val="20"/>
                <w:szCs w:val="20"/>
                <w:color w:val="auto"/>
              </w:rPr>
            </w:pPr>
            <w:r>
              <w:rPr>
                <w:rFonts w:ascii="Arial" w:cs="Arial" w:eastAsia="Arial" w:hAnsi="Arial"/>
                <w:sz w:val="14"/>
                <w:szCs w:val="14"/>
                <w:color w:val="auto"/>
              </w:rPr>
              <w:t>0.7</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56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jc w:val="right"/>
              <w:ind w:right="29"/>
              <w:spacing w:after="0"/>
              <w:rPr>
                <w:sz w:val="20"/>
                <w:szCs w:val="20"/>
                <w:color w:val="auto"/>
              </w:rPr>
            </w:pPr>
            <w:r>
              <w:rPr>
                <w:rFonts w:ascii="Arial" w:cs="Arial" w:eastAsia="Arial" w:hAnsi="Arial"/>
                <w:sz w:val="14"/>
                <w:szCs w:val="14"/>
                <w:color w:val="auto"/>
              </w:rPr>
              <w:t>88.2</w:t>
            </w:r>
          </w:p>
        </w:tc>
        <w:tc>
          <w:tcPr>
            <w:tcW w:w="280" w:type="dxa"/>
            <w:vAlign w:val="bottom"/>
          </w:tcPr>
          <w:p>
            <w:pPr>
              <w:jc w:val="right"/>
              <w:ind w:right="69"/>
              <w:spacing w:after="0"/>
              <w:rPr>
                <w:sz w:val="20"/>
                <w:szCs w:val="20"/>
                <w:color w:val="auto"/>
              </w:rPr>
            </w:pPr>
            <w:r>
              <w:rPr>
                <w:rFonts w:ascii="Arial" w:cs="Arial" w:eastAsia="Arial" w:hAnsi="Arial"/>
                <w:sz w:val="14"/>
                <w:szCs w:val="14"/>
                <w:color w:val="auto"/>
                <w:w w:val="96"/>
              </w:rPr>
              <w:t>%</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ind w:right="92"/>
              <w:spacing w:after="0"/>
              <w:rPr>
                <w:sz w:val="20"/>
                <w:szCs w:val="20"/>
                <w:color w:val="auto"/>
              </w:rPr>
            </w:pPr>
            <w:r>
              <w:rPr>
                <w:rFonts w:ascii="Arial" w:cs="Arial" w:eastAsia="Arial" w:hAnsi="Arial"/>
                <w:sz w:val="14"/>
                <w:szCs w:val="14"/>
                <w:color w:val="auto"/>
              </w:rPr>
              <w:t>93.0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Expected dividend yield</w:t>
            </w:r>
          </w:p>
        </w:tc>
        <w:tc>
          <w:tcPr>
            <w:tcW w:w="240" w:type="dxa"/>
            <w:vAlign w:val="bottom"/>
            <w:shd w:val="clear" w:color="auto" w:fill="CFF0FC"/>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jc w:val="right"/>
              <w:ind w:right="69"/>
              <w:spacing w:after="0"/>
              <w:rPr>
                <w:sz w:val="20"/>
                <w:szCs w:val="20"/>
                <w:color w:val="auto"/>
              </w:rPr>
            </w:pPr>
            <w:r>
              <w:rPr>
                <w:rFonts w:ascii="Arial" w:cs="Arial" w:eastAsia="Arial" w:hAnsi="Arial"/>
                <w:sz w:val="14"/>
                <w:szCs w:val="14"/>
                <w:color w:val="auto"/>
                <w:w w:val="96"/>
              </w:rPr>
              <w:t>%</w:t>
            </w:r>
          </w:p>
        </w:tc>
        <w:tc>
          <w:tcPr>
            <w:tcW w:w="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32"/>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560" w:type="dxa"/>
            <w:vAlign w:val="bottom"/>
          </w:tcPr>
          <w:p>
            <w:pPr>
              <w:ind w:left="20"/>
              <w:spacing w:after="0"/>
              <w:rPr>
                <w:sz w:val="20"/>
                <w:szCs w:val="20"/>
                <w:color w:val="auto"/>
              </w:rPr>
            </w:pPr>
            <w:r>
              <w:rPr>
                <w:rFonts w:ascii="Arial" w:cs="Arial" w:eastAsia="Arial" w:hAnsi="Arial"/>
                <w:sz w:val="14"/>
                <w:szCs w:val="14"/>
                <w:color w:val="auto"/>
              </w:rPr>
              <w:t>Expected term (in years)</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jc w:val="right"/>
              <w:ind w:right="29"/>
              <w:spacing w:after="0"/>
              <w:rPr>
                <w:sz w:val="20"/>
                <w:szCs w:val="20"/>
                <w:color w:val="auto"/>
              </w:rPr>
            </w:pPr>
            <w:r>
              <w:rPr>
                <w:rFonts w:ascii="Arial" w:cs="Arial" w:eastAsia="Arial" w:hAnsi="Arial"/>
                <w:sz w:val="14"/>
                <w:szCs w:val="14"/>
                <w:color w:val="auto"/>
              </w:rPr>
              <w:t>6.15</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jc w:val="right"/>
              <w:ind w:right="92"/>
              <w:spacing w:after="0"/>
              <w:rPr>
                <w:sz w:val="20"/>
                <w:szCs w:val="20"/>
                <w:color w:val="auto"/>
              </w:rPr>
            </w:pPr>
            <w:r>
              <w:rPr>
                <w:rFonts w:ascii="Arial" w:cs="Arial" w:eastAsia="Arial" w:hAnsi="Arial"/>
                <w:sz w:val="14"/>
                <w:szCs w:val="14"/>
                <w:color w:val="auto"/>
              </w:rPr>
              <w:t>6.18</w:t>
            </w:r>
          </w:p>
        </w:tc>
        <w:tc>
          <w:tcPr>
            <w:tcW w:w="220" w:type="dxa"/>
            <w:vAlign w:val="bottom"/>
          </w:tcPr>
          <w:p>
            <w:pPr>
              <w:spacing w:after="0"/>
              <w:rPr>
                <w:sz w:val="15"/>
                <w:szCs w:val="15"/>
                <w:color w:val="auto"/>
              </w:rPr>
            </w:pPr>
          </w:p>
        </w:tc>
      </w:tr>
      <w:tr>
        <w:trPr>
          <w:trHeight w:val="181"/>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Weighted-average grant date fair value per share</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29"/>
              <w:spacing w:after="0"/>
              <w:rPr>
                <w:sz w:val="20"/>
                <w:szCs w:val="20"/>
                <w:color w:val="auto"/>
              </w:rPr>
            </w:pPr>
            <w:r>
              <w:rPr>
                <w:rFonts w:ascii="Arial" w:cs="Arial" w:eastAsia="Arial" w:hAnsi="Arial"/>
                <w:sz w:val="14"/>
                <w:szCs w:val="14"/>
                <w:color w:val="auto"/>
              </w:rPr>
              <w:t>21.89</w:t>
            </w:r>
          </w:p>
        </w:tc>
        <w:tc>
          <w:tcPr>
            <w:tcW w:w="860" w:type="dxa"/>
            <w:vAlign w:val="bottom"/>
            <w:gridSpan w:val="3"/>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ind w:right="92"/>
              <w:spacing w:after="0"/>
              <w:rPr>
                <w:sz w:val="20"/>
                <w:szCs w:val="20"/>
                <w:color w:val="auto"/>
              </w:rPr>
            </w:pPr>
            <w:r>
              <w:rPr>
                <w:rFonts w:ascii="Arial" w:cs="Arial" w:eastAsia="Arial" w:hAnsi="Arial"/>
                <w:sz w:val="14"/>
                <w:szCs w:val="14"/>
                <w:color w:val="auto"/>
              </w:rPr>
              <w:t>22.32</w:t>
            </w:r>
          </w:p>
        </w:tc>
        <w:tc>
          <w:tcPr>
            <w:tcW w:w="220" w:type="dxa"/>
            <w:vAlign w:val="bottom"/>
            <w:shd w:val="clear" w:color="auto" w:fill="CFF0FC"/>
          </w:tcPr>
          <w:p>
            <w:pPr>
              <w:spacing w:after="0"/>
              <w:rPr>
                <w:sz w:val="15"/>
                <w:szCs w:val="15"/>
                <w:color w:val="auto"/>
              </w:rPr>
            </w:pPr>
          </w:p>
        </w:tc>
      </w:tr>
    </w:tbl>
    <w:p>
      <w:pPr>
        <w:spacing w:after="0" w:line="233" w:lineRule="exact"/>
        <w:rPr>
          <w:sz w:val="20"/>
          <w:szCs w:val="20"/>
          <w:color w:val="auto"/>
        </w:rPr>
      </w:pPr>
    </w:p>
    <w:p>
      <w:pPr>
        <w:ind w:right="40" w:firstLine="382"/>
        <w:spacing w:after="0" w:line="260" w:lineRule="auto"/>
        <w:rPr>
          <w:sz w:val="20"/>
          <w:szCs w:val="20"/>
          <w:color w:val="auto"/>
        </w:rPr>
      </w:pPr>
      <w:r>
        <w:rPr>
          <w:rFonts w:ascii="Arial" w:cs="Arial" w:eastAsia="Arial" w:hAnsi="Arial"/>
          <w:sz w:val="14"/>
          <w:szCs w:val="14"/>
          <w:color w:val="auto"/>
        </w:rPr>
        <w:t>We determine the appropriate risk-free interest rate, expected term for employee stock-based awards, contractual term for non-employee stock-based awards, and volatility assumptions. The weighted-average expected option term for employee and non-employee stock-based awards reflects the application of the simplified method, which defines the life as the average of the contractual term of the options and the weighted-average vesting period for all option tranches. Expected volatility for 2022 and 2021 incorporates the historical volatility of our stock price. The risk-free interest rate is based upon U.S. Treasury securities with remaining terms similar to the expected or contractual term of the stock-based payment awards. The assumed dividend yield is based on our expectation of not paying dividends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74" w:right="319" w:bottom="1440" w:gutter="0" w:footer="0" w:header="0"/>
        </w:sectPr>
      </w:pPr>
    </w:p>
    <w:bookmarkStart w:id="21" w:name="page22"/>
    <w:bookmarkEnd w:id="21"/>
    <w:p>
      <w:pPr>
        <w:ind w:left="380"/>
        <w:spacing w:after="0"/>
        <w:rPr>
          <w:sz w:val="20"/>
          <w:szCs w:val="20"/>
          <w:color w:val="auto"/>
        </w:rPr>
      </w:pPr>
      <w:r>
        <w:rPr>
          <w:rFonts w:ascii="Arial" w:cs="Arial" w:eastAsia="Arial" w:hAnsi="Arial"/>
          <w:sz w:val="14"/>
          <w:szCs w:val="14"/>
          <w:color w:val="auto"/>
        </w:rPr>
        <w:t>Total non-cash stock-based compensation expense for all stock awards that was recognized in the consolidated statements of operations and comprehensive loss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0" w:type="dxa"/>
            <w:vAlign w:val="bottom"/>
            <w:gridSpan w:val="3"/>
          </w:tcPr>
          <w:p>
            <w:pPr>
              <w:jc w:val="right"/>
              <w:spacing w:after="0"/>
              <w:rPr>
                <w:sz w:val="20"/>
                <w:szCs w:val="20"/>
                <w:color w:val="auto"/>
              </w:rPr>
            </w:pPr>
            <w:r>
              <w:rPr>
                <w:rFonts w:ascii="Arial" w:cs="Arial" w:eastAsia="Arial" w:hAnsi="Arial"/>
                <w:sz w:val="11"/>
                <w:szCs w:val="11"/>
                <w:b w:val="1"/>
                <w:bCs w:val="1"/>
                <w:color w:val="auto"/>
              </w:rPr>
              <w:t>Three Months Ended</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80" w:type="dxa"/>
            <w:vAlign w:val="bottom"/>
            <w:gridSpan w:val="3"/>
          </w:tcPr>
          <w:p>
            <w:pPr>
              <w:jc w:val="right"/>
              <w:spacing w:after="0"/>
              <w:rPr>
                <w:sz w:val="20"/>
                <w:szCs w:val="20"/>
                <w:color w:val="auto"/>
              </w:rPr>
            </w:pPr>
            <w:r>
              <w:rPr>
                <w:rFonts w:ascii="Arial" w:cs="Arial" w:eastAsia="Arial" w:hAnsi="Arial"/>
                <w:sz w:val="11"/>
                <w:szCs w:val="11"/>
                <w:b w:val="1"/>
                <w:bCs w:val="1"/>
                <w:color w:val="auto"/>
              </w:rPr>
              <w:t>Nine Months Ended</w:t>
            </w:r>
          </w:p>
        </w:tc>
        <w:tc>
          <w:tcPr>
            <w:tcW w:w="820" w:type="dxa"/>
            <w:vAlign w:val="bottom"/>
          </w:tcPr>
          <w:p>
            <w:pPr>
              <w:spacing w:after="0"/>
              <w:rPr>
                <w:sz w:val="10"/>
                <w:szCs w:val="10"/>
                <w:color w:val="auto"/>
              </w:rPr>
            </w:pPr>
          </w:p>
        </w:tc>
      </w:tr>
      <w:tr>
        <w:trPr>
          <w:trHeight w:val="150"/>
        </w:trPr>
        <w:tc>
          <w:tcPr>
            <w:tcW w:w="57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ind w:right="129"/>
              <w:spacing w:after="0"/>
              <w:rPr>
                <w:sz w:val="20"/>
                <w:szCs w:val="20"/>
                <w:color w:val="auto"/>
              </w:rPr>
            </w:pPr>
            <w:r>
              <w:rPr>
                <w:rFonts w:ascii="Arial" w:cs="Arial" w:eastAsia="Arial" w:hAnsi="Arial"/>
                <w:sz w:val="11"/>
                <w:szCs w:val="11"/>
                <w:b w:val="1"/>
                <w:bCs w:val="1"/>
                <w:color w:val="auto"/>
              </w:rPr>
              <w:t>September 30,</w:t>
            </w: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right"/>
              <w:ind w:right="109"/>
              <w:spacing w:after="0"/>
              <w:rPr>
                <w:sz w:val="20"/>
                <w:szCs w:val="20"/>
                <w:color w:val="auto"/>
              </w:rPr>
            </w:pPr>
            <w:r>
              <w:rPr>
                <w:rFonts w:ascii="Arial" w:cs="Arial" w:eastAsia="Arial" w:hAnsi="Arial"/>
                <w:sz w:val="11"/>
                <w:szCs w:val="11"/>
                <w:b w:val="1"/>
                <w:bCs w:val="1"/>
                <w:color w:val="auto"/>
              </w:rPr>
              <w:t>September 30,</w:t>
            </w:r>
          </w:p>
        </w:tc>
        <w:tc>
          <w:tcPr>
            <w:tcW w:w="820" w:type="dxa"/>
            <w:vAlign w:val="bottom"/>
            <w:tcBorders>
              <w:bottom w:val="single" w:sz="8" w:color="auto"/>
            </w:tcBorders>
          </w:tcPr>
          <w:p>
            <w:pPr>
              <w:spacing w:after="0"/>
              <w:rPr>
                <w:sz w:val="13"/>
                <w:szCs w:val="13"/>
                <w:color w:val="auto"/>
              </w:rPr>
            </w:pPr>
          </w:p>
        </w:tc>
      </w:tr>
      <w:tr>
        <w:trPr>
          <w:trHeight w:val="153"/>
        </w:trPr>
        <w:tc>
          <w:tcPr>
            <w:tcW w:w="5780" w:type="dxa"/>
            <w:vAlign w:val="bottom"/>
            <w:tcBorders>
              <w:bottom w:val="single" w:sz="8" w:color="CFF0FC"/>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6"/>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73"/>
              <w:spacing w:after="0"/>
              <w:rPr>
                <w:sz w:val="20"/>
                <w:szCs w:val="20"/>
                <w:color w:val="auto"/>
              </w:rPr>
            </w:pPr>
            <w:r>
              <w:rPr>
                <w:rFonts w:ascii="Arial" w:cs="Arial" w:eastAsia="Arial" w:hAnsi="Arial"/>
                <w:sz w:val="11"/>
                <w:szCs w:val="11"/>
                <w:b w:val="1"/>
                <w:bCs w:val="1"/>
                <w:color w:val="auto"/>
                <w:w w:val="97"/>
              </w:rPr>
              <w:t>2021</w:t>
            </w:r>
          </w:p>
        </w:tc>
        <w:tc>
          <w:tcPr>
            <w:tcW w:w="1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6"/>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73"/>
              <w:spacing w:after="0"/>
              <w:rPr>
                <w:sz w:val="20"/>
                <w:szCs w:val="20"/>
                <w:color w:val="auto"/>
              </w:rPr>
            </w:pPr>
            <w:r>
              <w:rPr>
                <w:rFonts w:ascii="Arial" w:cs="Arial" w:eastAsia="Arial" w:hAnsi="Arial"/>
                <w:sz w:val="11"/>
                <w:szCs w:val="11"/>
                <w:b w:val="1"/>
                <w:bCs w:val="1"/>
                <w:color w:val="auto"/>
              </w:rPr>
              <w:t>2021</w:t>
            </w:r>
          </w:p>
        </w:tc>
      </w:tr>
      <w:tr>
        <w:trPr>
          <w:trHeight w:val="177"/>
        </w:trPr>
        <w:tc>
          <w:tcPr>
            <w:tcW w:w="578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Research and development</w:t>
            </w:r>
          </w:p>
        </w:tc>
        <w:tc>
          <w:tcPr>
            <w:tcW w:w="300" w:type="dxa"/>
            <w:vAlign w:val="bottom"/>
            <w:shd w:val="clear" w:color="auto" w:fill="CFF0FC"/>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1,547</w:t>
            </w: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jc w:val="right"/>
              <w:ind w:right="349"/>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1,773</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4,997</w:t>
            </w:r>
          </w:p>
        </w:tc>
        <w:tc>
          <w:tcPr>
            <w:tcW w:w="10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32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4,402</w:t>
            </w:r>
          </w:p>
        </w:tc>
      </w:tr>
      <w:tr>
        <w:trPr>
          <w:trHeight w:val="180"/>
        </w:trPr>
        <w:tc>
          <w:tcPr>
            <w:tcW w:w="5780" w:type="dxa"/>
            <w:vAlign w:val="bottom"/>
            <w:tcBorders>
              <w:bottom w:val="single" w:sz="8" w:color="CFF0FC"/>
            </w:tcBorders>
          </w:tcPr>
          <w:p>
            <w:pPr>
              <w:ind w:left="20"/>
              <w:spacing w:after="0"/>
              <w:rPr>
                <w:sz w:val="20"/>
                <w:szCs w:val="20"/>
                <w:color w:val="auto"/>
              </w:rPr>
            </w:pPr>
            <w:r>
              <w:rPr>
                <w:rFonts w:ascii="Arial" w:cs="Arial" w:eastAsia="Arial" w:hAnsi="Arial"/>
                <w:sz w:val="14"/>
                <w:szCs w:val="14"/>
                <w:color w:val="auto"/>
              </w:rPr>
              <w:t>General and administrative</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4,724</w:t>
            </w:r>
          </w:p>
        </w:tc>
        <w:tc>
          <w:tcPr>
            <w:tcW w:w="100" w:type="dxa"/>
            <w:vAlign w:val="bottom"/>
            <w:tcBorders>
              <w:bottom w:val="single" w:sz="8" w:color="CFF0FC"/>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2,591</w:t>
            </w:r>
          </w:p>
        </w:tc>
        <w:tc>
          <w:tcPr>
            <w:tcW w:w="1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15,674</w:t>
            </w:r>
          </w:p>
        </w:tc>
        <w:tc>
          <w:tcPr>
            <w:tcW w:w="100" w:type="dxa"/>
            <w:vAlign w:val="bottom"/>
            <w:tcBorders>
              <w:bottom w:val="single" w:sz="8" w:color="CFF0FC"/>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6,967</w:t>
            </w:r>
          </w:p>
        </w:tc>
      </w:tr>
      <w:tr>
        <w:trPr>
          <w:trHeight w:val="196"/>
        </w:trPr>
        <w:tc>
          <w:tcPr>
            <w:tcW w:w="578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shd w:val="clear" w:color="auto" w:fill="CFF0FC"/>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6,271</w:t>
            </w:r>
          </w:p>
        </w:tc>
        <w:tc>
          <w:tcPr>
            <w:tcW w:w="10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jc w:val="right"/>
              <w:ind w:right="34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4,364</w:t>
            </w:r>
          </w:p>
        </w:tc>
        <w:tc>
          <w:tcPr>
            <w:tcW w:w="1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20,671</w:t>
            </w:r>
          </w:p>
        </w:tc>
        <w:tc>
          <w:tcPr>
            <w:tcW w:w="100" w:type="dxa"/>
            <w:vAlign w:val="bottom"/>
            <w:tcBorders>
              <w:bottom w:val="single" w:sz="8" w:color="CFF0FC"/>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ind w:right="32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11,369</w:t>
            </w:r>
          </w:p>
        </w:tc>
      </w:tr>
      <w:tr>
        <w:trPr>
          <w:trHeight w:val="20"/>
        </w:trPr>
        <w:tc>
          <w:tcPr>
            <w:tcW w:w="57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bottom w:val="single" w:sz="8" w:color="auto"/>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ind w:right="140" w:firstLine="382"/>
        <w:spacing w:after="0" w:line="258" w:lineRule="auto"/>
        <w:rPr>
          <w:sz w:val="20"/>
          <w:szCs w:val="20"/>
          <w:color w:val="auto"/>
        </w:rPr>
      </w:pPr>
      <w:r>
        <w:rPr>
          <w:rFonts w:ascii="Arial" w:cs="Arial" w:eastAsia="Arial" w:hAnsi="Arial"/>
          <w:sz w:val="14"/>
          <w:szCs w:val="14"/>
          <w:color w:val="auto"/>
        </w:rPr>
        <w:t>On March 20, 2022, our then Chief Executive Officer (“former CEO”), resigned by mutual agreement with the Board of Directors. In connection with his separation agreement, we modified certain equity awards and recognized approximately $3.2 million in non-cash stock-based compensation expense. Given the former CEO had substantially rendered the required services per his separation agreement, we recorded the full expense related to the modification in the period ending March 31, 2022. Additionally, on March 21, 2022, we awarded our newly appointed Interim President and Chief Executive Officer RSUs for 887,043 shares of the company’s common stock. The fair value of the award will be recognized as part of compensation cost, occurring ratably over the stated 24-month requisite service period. During the three and nine months ended September 30, 2022, we recognized $3.0 million and $6.2 million of non-cash stock-based compensation cost related to the award.</w:t>
      </w:r>
    </w:p>
    <w:p>
      <w:pPr>
        <w:spacing w:after="0" w:line="65" w:lineRule="exact"/>
        <w:rPr>
          <w:sz w:val="20"/>
          <w:szCs w:val="20"/>
          <w:color w:val="auto"/>
        </w:rPr>
      </w:pPr>
    </w:p>
    <w:p>
      <w:pPr>
        <w:ind w:right="220" w:firstLine="382"/>
        <w:spacing w:after="0" w:line="297" w:lineRule="auto"/>
        <w:rPr>
          <w:sz w:val="20"/>
          <w:szCs w:val="20"/>
          <w:color w:val="auto"/>
        </w:rPr>
      </w:pPr>
      <w:r>
        <w:rPr>
          <w:rFonts w:ascii="Arial" w:cs="Arial" w:eastAsia="Arial" w:hAnsi="Arial"/>
          <w:sz w:val="13"/>
          <w:szCs w:val="13"/>
          <w:color w:val="auto"/>
        </w:rPr>
        <w:t>At September 30, 2022, there was $28.0 million of unrecognized compensation cost related to unvested stock option awards, which is expected to be recognized over a remaining weighted-average vesting period of 2.39 years, $20.2 million of unrecognized cost related to unvested RSUs awards, which is expected to be recognized over a period of 1.49 years and $0.1 million of unrecognized compensation cost related to the ESPP, which is expected to be recognized over a remaining weighted-average vesting period of 0.13 years.</w:t>
      </w:r>
    </w:p>
    <w:p>
      <w:pPr>
        <w:spacing w:after="0" w:line="205" w:lineRule="exact"/>
        <w:rPr>
          <w:sz w:val="20"/>
          <w:szCs w:val="20"/>
          <w:color w:val="auto"/>
        </w:rPr>
      </w:pPr>
    </w:p>
    <w:p>
      <w:pPr>
        <w:ind w:left="220" w:right="9140" w:hanging="215"/>
        <w:spacing w:after="0" w:line="446" w:lineRule="auto"/>
        <w:tabs>
          <w:tab w:leader="none" w:pos="139" w:val="left"/>
        </w:tabs>
        <w:numPr>
          <w:ilvl w:val="0"/>
          <w:numId w:val="10"/>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Commitments and Contingencies </w:t>
      </w:r>
      <w:r>
        <w:rPr>
          <w:rFonts w:ascii="Arial" w:cs="Arial" w:eastAsia="Arial" w:hAnsi="Arial"/>
          <w:sz w:val="12"/>
          <w:szCs w:val="12"/>
          <w:b w:val="1"/>
          <w:bCs w:val="1"/>
          <w:i w:val="1"/>
          <w:iCs w:val="1"/>
          <w:color w:val="auto"/>
        </w:rPr>
        <w:t>Operating Leases</w:t>
      </w:r>
    </w:p>
    <w:p>
      <w:pPr>
        <w:ind w:right="40" w:firstLine="382"/>
        <w:spacing w:after="0" w:line="298" w:lineRule="auto"/>
        <w:rPr>
          <w:sz w:val="20"/>
          <w:szCs w:val="20"/>
          <w:color w:val="auto"/>
        </w:rPr>
      </w:pPr>
      <w:r>
        <w:rPr>
          <w:rFonts w:ascii="Arial" w:cs="Arial" w:eastAsia="Arial" w:hAnsi="Arial"/>
          <w:sz w:val="12"/>
          <w:szCs w:val="12"/>
          <w:color w:val="auto"/>
        </w:rPr>
        <w:t>On May 4, 2020, we entered into a lease agreement with Wateridge Property Owner, LP, with respect to facilities in the building at 10770 Wateridge Circle, San Diego, California 92121 (the “Lease Agreement”). Under the Lease Agreement, we agreed to lease approximately 45,000 square feet of space for a term of 124 months, beginning on April 5, 2021. The terms of the Lease Agreement provide us with an option to extend the term of the lease for an additional five years, as well as a one-time option to terminate the lease after seven years with the payment of a termination fee. The exercise of the lease option is at our sole discretion, which we currently do not anticipate exercising and as such was not recognized as part of the ROU asset and lease liability. The monthly base rent will be $4.20 per rentable square foot and will be increased by 3% annually. Under the Lease Agreement, we are also responsible for our pro rata share of real estate taxes, building insurance, maintenance, direct expenses, and utilities. Upon lease commencement, on April 5, 2021, we recognized an ROU asset of $20.6 million, with a corresponding lease liability of</w:t>
      </w:r>
    </w:p>
    <w:p>
      <w:pPr>
        <w:spacing w:after="0" w:line="1" w:lineRule="exact"/>
        <w:rPr>
          <w:sz w:val="20"/>
          <w:szCs w:val="20"/>
          <w:color w:val="auto"/>
        </w:rPr>
      </w:pPr>
    </w:p>
    <w:p>
      <w:pPr>
        <w:ind w:right="520"/>
        <w:spacing w:after="0" w:line="266" w:lineRule="auto"/>
        <w:rPr>
          <w:sz w:val="20"/>
          <w:szCs w:val="20"/>
          <w:color w:val="auto"/>
        </w:rPr>
      </w:pPr>
      <w:r>
        <w:rPr>
          <w:rFonts w:ascii="Arial" w:cs="Arial" w:eastAsia="Arial" w:hAnsi="Arial"/>
          <w:sz w:val="14"/>
          <w:szCs w:val="14"/>
          <w:color w:val="auto"/>
        </w:rPr>
        <w:t>$20.7 million on the consolidated balance sheets. The ROU asset includes adjustments for prepayments, initial direct costs, and lease incentives. As of September 30, 2022, we have recorded $0.3 million as a security deposit in accordance with the terms of the Lease Agreement.</w:t>
      </w:r>
    </w:p>
    <w:p>
      <w:pPr>
        <w:spacing w:after="0" w:line="57" w:lineRule="exact"/>
        <w:rPr>
          <w:sz w:val="20"/>
          <w:szCs w:val="20"/>
          <w:color w:val="auto"/>
        </w:rPr>
      </w:pPr>
    </w:p>
    <w:p>
      <w:pPr>
        <w:jc w:val="both"/>
        <w:ind w:right="100" w:firstLine="382"/>
        <w:spacing w:after="0" w:line="262" w:lineRule="auto"/>
        <w:rPr>
          <w:sz w:val="20"/>
          <w:szCs w:val="20"/>
          <w:color w:val="auto"/>
        </w:rPr>
      </w:pPr>
      <w:r>
        <w:rPr>
          <w:rFonts w:ascii="Arial" w:cs="Arial" w:eastAsia="Arial" w:hAnsi="Arial"/>
          <w:sz w:val="14"/>
          <w:szCs w:val="14"/>
          <w:color w:val="auto"/>
        </w:rPr>
        <w:t>Our lease payments are fixed, and we recognize lease expense for leases on a straight-line basis over the lease term. Operating lease ROU assets and lease liabilities are recorded based on the present value of the future minimum lease payments over the lease term at commencement date. As our lease does not provide an implicit rate, we used our incremental borrowing rate based on the information available at effective date of adoption in determining the present value of future payments. The weighted-average discount rate used was 4.0% and the weighted-average remaining lease term is approximately 8.9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02" w:right="319" w:bottom="1440" w:gutter="0" w:footer="0" w:header="0"/>
        </w:sectPr>
      </w:pPr>
    </w:p>
    <w:bookmarkStart w:id="22" w:name="page23"/>
    <w:bookmarkEnd w:id="22"/>
    <w:p>
      <w:pPr>
        <w:ind w:left="380"/>
        <w:spacing w:after="0"/>
        <w:rPr>
          <w:sz w:val="20"/>
          <w:szCs w:val="20"/>
          <w:color w:val="auto"/>
        </w:rPr>
      </w:pPr>
      <w:r>
        <w:rPr>
          <w:rFonts w:ascii="Arial" w:cs="Arial" w:eastAsia="Arial" w:hAnsi="Arial"/>
          <w:sz w:val="14"/>
          <w:szCs w:val="14"/>
          <w:color w:val="auto"/>
        </w:rPr>
        <w:t>The following non-cancellable office lease costs are included in our consolidated statements of cash flow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20" w:type="dxa"/>
            <w:vAlign w:val="bottom"/>
          </w:tcPr>
          <w:p>
            <w:pPr>
              <w:jc w:val="center"/>
              <w:ind w:right="783"/>
              <w:spacing w:after="0"/>
              <w:rPr>
                <w:sz w:val="20"/>
                <w:szCs w:val="20"/>
                <w:color w:val="auto"/>
              </w:rPr>
            </w:pPr>
            <w:r>
              <w:rPr>
                <w:rFonts w:ascii="Arial" w:cs="Arial" w:eastAsia="Arial" w:hAnsi="Arial"/>
                <w:sz w:val="11"/>
                <w:szCs w:val="11"/>
                <w:b w:val="1"/>
                <w:bCs w:val="1"/>
                <w:color w:val="auto"/>
                <w:w w:val="93"/>
              </w:rPr>
              <w:t>Nine Months Ended</w:t>
            </w:r>
          </w:p>
        </w:tc>
      </w:tr>
      <w:tr>
        <w:trPr>
          <w:trHeight w:val="151"/>
        </w:trPr>
        <w:tc>
          <w:tcPr>
            <w:tcW w:w="4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jc w:val="center"/>
              <w:ind w:right="783"/>
              <w:spacing w:after="0"/>
              <w:rPr>
                <w:sz w:val="20"/>
                <w:szCs w:val="20"/>
                <w:color w:val="auto"/>
              </w:rPr>
            </w:pPr>
            <w:r>
              <w:rPr>
                <w:rFonts w:ascii="Arial" w:cs="Arial" w:eastAsia="Arial" w:hAnsi="Arial"/>
                <w:sz w:val="11"/>
                <w:szCs w:val="11"/>
                <w:b w:val="1"/>
                <w:bCs w:val="1"/>
                <w:color w:val="auto"/>
                <w:w w:val="90"/>
              </w:rPr>
              <w:t>September 30,</w:t>
            </w:r>
          </w:p>
        </w:tc>
      </w:tr>
      <w:tr>
        <w:trPr>
          <w:trHeight w:val="142"/>
        </w:trPr>
        <w:tc>
          <w:tcPr>
            <w:tcW w:w="4740" w:type="dxa"/>
            <w:vAlign w:val="bottom"/>
          </w:tcPr>
          <w:p>
            <w:pPr>
              <w:ind w:left="20"/>
              <w:spacing w:after="0"/>
              <w:rPr>
                <w:sz w:val="20"/>
                <w:szCs w:val="20"/>
                <w:color w:val="auto"/>
              </w:rPr>
            </w:pPr>
            <w:r>
              <w:rPr>
                <w:rFonts w:ascii="Arial" w:cs="Arial" w:eastAsia="Arial" w:hAnsi="Arial"/>
                <w:sz w:val="11"/>
                <w:szCs w:val="11"/>
                <w:b w:val="1"/>
                <w:bCs w:val="1"/>
                <w:color w:val="auto"/>
              </w:rPr>
              <w:t>Leases</w:t>
            </w:r>
          </w:p>
        </w:tc>
        <w:tc>
          <w:tcPr>
            <w:tcW w:w="100" w:type="dxa"/>
            <w:vAlign w:val="bottom"/>
          </w:tcPr>
          <w:p>
            <w:pPr>
              <w:spacing w:after="0"/>
              <w:rPr>
                <w:sz w:val="12"/>
                <w:szCs w:val="12"/>
                <w:color w:val="auto"/>
              </w:rPr>
            </w:pPr>
          </w:p>
        </w:tc>
        <w:tc>
          <w:tcPr>
            <w:tcW w:w="3580" w:type="dxa"/>
            <w:vAlign w:val="bottom"/>
          </w:tcPr>
          <w:p>
            <w:pPr>
              <w:spacing w:after="0"/>
              <w:rPr>
                <w:sz w:val="20"/>
                <w:szCs w:val="20"/>
                <w:color w:val="auto"/>
              </w:rPr>
            </w:pPr>
            <w:r>
              <w:rPr>
                <w:rFonts w:ascii="Arial" w:cs="Arial" w:eastAsia="Arial" w:hAnsi="Arial"/>
                <w:sz w:val="11"/>
                <w:szCs w:val="11"/>
                <w:b w:val="1"/>
                <w:bCs w:val="1"/>
                <w:color w:val="auto"/>
              </w:rPr>
              <w:t>Classification on the Cash Flow</w:t>
            </w:r>
          </w:p>
        </w:tc>
        <w:tc>
          <w:tcPr>
            <w:tcW w:w="100" w:type="dxa"/>
            <w:vAlign w:val="bottom"/>
          </w:tcPr>
          <w:p>
            <w:pPr>
              <w:spacing w:after="0"/>
              <w:rPr>
                <w:sz w:val="12"/>
                <w:szCs w:val="12"/>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b w:val="1"/>
                <w:bCs w:val="1"/>
                <w:color w:val="auto"/>
              </w:rPr>
              <w:t>2022</w:t>
            </w:r>
          </w:p>
        </w:tc>
        <w:tc>
          <w:tcPr>
            <w:tcW w:w="1920" w:type="dxa"/>
            <w:vAlign w:val="bottom"/>
          </w:tcPr>
          <w:p>
            <w:pPr>
              <w:jc w:val="right"/>
              <w:ind w:right="503"/>
              <w:spacing w:after="0"/>
              <w:rPr>
                <w:sz w:val="20"/>
                <w:szCs w:val="20"/>
                <w:color w:val="auto"/>
              </w:rPr>
            </w:pPr>
            <w:r>
              <w:rPr>
                <w:rFonts w:ascii="Arial" w:cs="Arial" w:eastAsia="Arial" w:hAnsi="Arial"/>
                <w:sz w:val="11"/>
                <w:szCs w:val="11"/>
                <w:b w:val="1"/>
                <w:bCs w:val="1"/>
                <w:color w:val="auto"/>
              </w:rPr>
              <w:t>2021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Operating lease cost</w:t>
            </w:r>
          </w:p>
        </w:tc>
        <w:tc>
          <w:tcPr>
            <w:tcW w:w="100" w:type="dxa"/>
            <w:vAlign w:val="bottom"/>
            <w:tcBorders>
              <w:top w:val="single" w:sz="8" w:color="CCEEFF"/>
            </w:tcBorders>
            <w:shd w:val="clear" w:color="auto" w:fill="CCEEFF"/>
          </w:tcPr>
          <w:p>
            <w:pPr>
              <w:spacing w:after="0"/>
              <w:rPr>
                <w:sz w:val="15"/>
                <w:szCs w:val="15"/>
                <w:color w:val="auto"/>
              </w:rPr>
            </w:pPr>
          </w:p>
        </w:tc>
        <w:tc>
          <w:tcPr>
            <w:tcW w:w="3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Operating</w:t>
            </w: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1,858</w:t>
            </w:r>
          </w:p>
        </w:tc>
        <w:tc>
          <w:tcPr>
            <w:tcW w:w="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1,594</w:t>
            </w:r>
          </w:p>
        </w:tc>
      </w:tr>
      <w:tr>
        <w:trPr>
          <w:trHeight w:val="180"/>
        </w:trPr>
        <w:tc>
          <w:tcPr>
            <w:tcW w:w="4840" w:type="dxa"/>
            <w:vAlign w:val="bottom"/>
            <w:gridSpan w:val="2"/>
          </w:tcPr>
          <w:p>
            <w:pPr>
              <w:ind w:left="20"/>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3680" w:type="dxa"/>
            <w:vAlign w:val="bottom"/>
            <w:gridSpan w:val="2"/>
          </w:tcPr>
          <w:p>
            <w:pPr>
              <w:spacing w:after="0"/>
              <w:rPr>
                <w:sz w:val="20"/>
                <w:szCs w:val="20"/>
                <w:color w:val="auto"/>
              </w:rPr>
            </w:pPr>
            <w:r>
              <w:rPr>
                <w:rFonts w:ascii="Arial" w:cs="Arial" w:eastAsia="Arial" w:hAnsi="Arial"/>
                <w:sz w:val="14"/>
                <w:szCs w:val="14"/>
                <w:color w:val="auto"/>
              </w:rPr>
              <w:t>Operating</w:t>
            </w:r>
          </w:p>
        </w:tc>
        <w:tc>
          <w:tcPr>
            <w:tcW w:w="52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1,732</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516</w:t>
            </w:r>
          </w:p>
        </w:tc>
      </w:tr>
      <w:tr>
        <w:trPr>
          <w:trHeight w:val="414"/>
        </w:trPr>
        <w:tc>
          <w:tcPr>
            <w:tcW w:w="8520" w:type="dxa"/>
            <w:vAlign w:val="bottom"/>
            <w:gridSpan w:val="4"/>
          </w:tcPr>
          <w:p>
            <w:pPr>
              <w:ind w:left="380"/>
              <w:spacing w:after="0"/>
              <w:rPr>
                <w:sz w:val="20"/>
                <w:szCs w:val="20"/>
                <w:color w:val="auto"/>
              </w:rPr>
            </w:pPr>
            <w:r>
              <w:rPr>
                <w:rFonts w:ascii="Arial" w:cs="Arial" w:eastAsia="Arial" w:hAnsi="Arial"/>
                <w:sz w:val="14"/>
                <w:szCs w:val="14"/>
                <w:color w:val="auto"/>
                <w:w w:val="95"/>
              </w:rPr>
              <w:t>At September 30, 2022, the future minimum annual obligations for the Company’s operating lease liabilities are as follows (in thousands):</w:t>
            </w: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46"/>
        </w:trPr>
        <w:tc>
          <w:tcPr>
            <w:tcW w:w="4840" w:type="dxa"/>
            <w:vAlign w:val="bottom"/>
            <w:gridSpan w:val="2"/>
          </w:tcPr>
          <w:p>
            <w:pPr>
              <w:ind w:left="20"/>
              <w:spacing w:after="0"/>
              <w:rPr>
                <w:sz w:val="20"/>
                <w:szCs w:val="20"/>
                <w:color w:val="auto"/>
              </w:rPr>
            </w:pPr>
            <w:r>
              <w:rPr>
                <w:rFonts w:ascii="Arial" w:cs="Arial" w:eastAsia="Arial" w:hAnsi="Arial"/>
                <w:sz w:val="11"/>
                <w:szCs w:val="11"/>
                <w:b w:val="1"/>
                <w:bCs w:val="1"/>
                <w:color w:val="auto"/>
              </w:rPr>
              <w:t>Years Ending December 31,</w:t>
            </w:r>
          </w:p>
        </w:tc>
        <w:tc>
          <w:tcPr>
            <w:tcW w:w="3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190"/>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100" w:type="dxa"/>
            <w:vAlign w:val="bottom"/>
            <w:shd w:val="clear" w:color="auto" w:fill="CCEEFF"/>
          </w:tcPr>
          <w:p>
            <w:pPr>
              <w:spacing w:after="0"/>
              <w:rPr>
                <w:sz w:val="16"/>
                <w:szCs w:val="16"/>
                <w:color w:val="auto"/>
              </w:rPr>
            </w:pPr>
          </w:p>
        </w:tc>
        <w:tc>
          <w:tcPr>
            <w:tcW w:w="3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w:t>
            </w:r>
          </w:p>
        </w:tc>
      </w:tr>
      <w:tr>
        <w:trPr>
          <w:trHeight w:val="180"/>
        </w:trPr>
        <w:tc>
          <w:tcPr>
            <w:tcW w:w="4740" w:type="dxa"/>
            <w:vAlign w:val="bottom"/>
          </w:tcPr>
          <w:p>
            <w:pPr>
              <w:ind w:left="20"/>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2,386</w:t>
            </w:r>
          </w:p>
        </w:tc>
      </w:tr>
      <w:tr>
        <w:trPr>
          <w:trHeight w:val="181"/>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100" w:type="dxa"/>
            <w:vAlign w:val="bottom"/>
            <w:shd w:val="clear" w:color="auto" w:fill="CCEEFF"/>
          </w:tcPr>
          <w:p>
            <w:pPr>
              <w:spacing w:after="0"/>
              <w:rPr>
                <w:sz w:val="15"/>
                <w:szCs w:val="15"/>
                <w:color w:val="auto"/>
              </w:rPr>
            </w:pPr>
          </w:p>
        </w:tc>
        <w:tc>
          <w:tcPr>
            <w:tcW w:w="3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2,457</w:t>
            </w:r>
          </w:p>
        </w:tc>
      </w:tr>
      <w:tr>
        <w:trPr>
          <w:trHeight w:val="180"/>
        </w:trPr>
        <w:tc>
          <w:tcPr>
            <w:tcW w:w="4740" w:type="dxa"/>
            <w:vAlign w:val="bottom"/>
          </w:tcPr>
          <w:p>
            <w:pPr>
              <w:ind w:left="20"/>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2,531</w:t>
            </w:r>
          </w:p>
        </w:tc>
      </w:tr>
      <w:tr>
        <w:trPr>
          <w:trHeight w:val="181"/>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100" w:type="dxa"/>
            <w:vAlign w:val="bottom"/>
            <w:shd w:val="clear" w:color="auto" w:fill="CCEEFF"/>
          </w:tcPr>
          <w:p>
            <w:pPr>
              <w:spacing w:after="0"/>
              <w:rPr>
                <w:sz w:val="15"/>
                <w:szCs w:val="15"/>
                <w:color w:val="auto"/>
              </w:rPr>
            </w:pPr>
          </w:p>
        </w:tc>
        <w:tc>
          <w:tcPr>
            <w:tcW w:w="3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2,607</w:t>
            </w:r>
          </w:p>
        </w:tc>
      </w:tr>
      <w:tr>
        <w:trPr>
          <w:trHeight w:val="180"/>
        </w:trPr>
        <w:tc>
          <w:tcPr>
            <w:tcW w:w="48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Thereafter</w:t>
            </w:r>
          </w:p>
        </w:tc>
        <w:tc>
          <w:tcPr>
            <w:tcW w:w="35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13,239</w:t>
            </w:r>
          </w:p>
        </w:tc>
      </w:tr>
      <w:tr>
        <w:trPr>
          <w:trHeight w:val="171"/>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minimum payments required</w:t>
            </w:r>
          </w:p>
        </w:tc>
        <w:tc>
          <w:tcPr>
            <w:tcW w:w="3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23,805</w:t>
            </w:r>
          </w:p>
        </w:tc>
      </w:tr>
      <w:tr>
        <w:trPr>
          <w:trHeight w:val="180"/>
        </w:trPr>
        <w:tc>
          <w:tcPr>
            <w:tcW w:w="48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Less imputed interest</w:t>
            </w:r>
          </w:p>
        </w:tc>
        <w:tc>
          <w:tcPr>
            <w:tcW w:w="35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(3,966)</w:t>
            </w:r>
          </w:p>
        </w:tc>
      </w:tr>
      <w:tr>
        <w:trPr>
          <w:trHeight w:val="196"/>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19,839</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left="220" w:right="9920" w:hanging="215"/>
        <w:spacing w:after="0" w:line="520" w:lineRule="auto"/>
        <w:tabs>
          <w:tab w:leader="none" w:pos="209" w:val="left"/>
        </w:tabs>
        <w:numPr>
          <w:ilvl w:val="0"/>
          <w:numId w:val="11"/>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Subsequent Events </w:t>
      </w:r>
      <w:r>
        <w:rPr>
          <w:rFonts w:ascii="Arial" w:cs="Arial" w:eastAsia="Arial" w:hAnsi="Arial"/>
          <w:sz w:val="12"/>
          <w:szCs w:val="12"/>
          <w:b w:val="1"/>
          <w:bCs w:val="1"/>
          <w:i w:val="1"/>
          <w:iCs w:val="1"/>
          <w:color w:val="auto"/>
        </w:rPr>
        <w:t>Milestone Revenue</w:t>
      </w:r>
    </w:p>
    <w:p>
      <w:pPr>
        <w:ind w:left="200" w:right="260" w:firstLine="191"/>
        <w:spacing w:after="0" w:line="379" w:lineRule="auto"/>
        <w:rPr>
          <w:sz w:val="20"/>
          <w:szCs w:val="20"/>
          <w:color w:val="auto"/>
        </w:rPr>
      </w:pPr>
      <w:r>
        <w:rPr>
          <w:rFonts w:ascii="Arial" w:cs="Arial" w:eastAsia="Arial" w:hAnsi="Arial"/>
          <w:sz w:val="14"/>
          <w:szCs w:val="14"/>
          <w:color w:val="auto"/>
        </w:rPr>
        <w:t xml:space="preserve">In October 2022, GSK initiated the first Phase 3 clinical trial for the treatment of advanced non-small cell lung cancer with cobolimab, triggering a milestone payment to us of $5.0 million. </w:t>
      </w:r>
      <w:r>
        <w:rPr>
          <w:rFonts w:ascii="Arial" w:cs="Arial" w:eastAsia="Arial" w:hAnsi="Arial"/>
          <w:sz w:val="14"/>
          <w:szCs w:val="14"/>
          <w:b w:val="1"/>
          <w:bCs w:val="1"/>
          <w:i w:val="1"/>
          <w:iCs w:val="1"/>
          <w:color w:val="auto"/>
        </w:rPr>
        <w:t>Open Market Sales Agreemen</w:t>
      </w:r>
      <w:r>
        <w:rPr>
          <w:rFonts w:ascii="Arial" w:cs="Arial" w:eastAsia="Arial" w:hAnsi="Arial"/>
          <w:sz w:val="14"/>
          <w:szCs w:val="14"/>
          <w:color w:val="auto"/>
        </w:rPr>
        <w:t>ts</w:t>
      </w:r>
    </w:p>
    <w:p>
      <w:pPr>
        <w:spacing w:after="0" w:line="1" w:lineRule="exact"/>
        <w:rPr>
          <w:sz w:val="20"/>
          <w:szCs w:val="20"/>
          <w:color w:val="auto"/>
        </w:rPr>
      </w:pPr>
    </w:p>
    <w:p>
      <w:pPr>
        <w:ind w:right="40" w:firstLine="382"/>
        <w:spacing w:after="0" w:line="281" w:lineRule="auto"/>
        <w:rPr>
          <w:sz w:val="20"/>
          <w:szCs w:val="20"/>
          <w:color w:val="auto"/>
        </w:rPr>
      </w:pPr>
      <w:r>
        <w:rPr>
          <w:rFonts w:ascii="Arial" w:cs="Arial" w:eastAsia="Arial" w:hAnsi="Arial"/>
          <w:sz w:val="14"/>
          <w:szCs w:val="14"/>
          <w:color w:val="auto"/>
        </w:rPr>
        <w:t>In December 2021, we entered into an Open Market Sales Agreement with Jefferies LLC, through which we may offer and sell shares of our common stock, having an aggregate offering of up to $150.0 million through Jefferies LLC as our sales agent. This agreement was terminated effective November 8, 2022.</w:t>
      </w:r>
    </w:p>
    <w:p>
      <w:pPr>
        <w:spacing w:after="0" w:line="47" w:lineRule="exact"/>
        <w:rPr>
          <w:sz w:val="20"/>
          <w:szCs w:val="20"/>
          <w:color w:val="auto"/>
        </w:rPr>
      </w:pPr>
    </w:p>
    <w:p>
      <w:pPr>
        <w:ind w:right="240" w:firstLine="382"/>
        <w:spacing w:after="0" w:line="281" w:lineRule="auto"/>
        <w:rPr>
          <w:sz w:val="20"/>
          <w:szCs w:val="20"/>
          <w:color w:val="auto"/>
        </w:rPr>
      </w:pPr>
      <w:r>
        <w:rPr>
          <w:rFonts w:ascii="Arial" w:cs="Arial" w:eastAsia="Arial" w:hAnsi="Arial"/>
          <w:sz w:val="14"/>
          <w:szCs w:val="14"/>
          <w:color w:val="auto"/>
        </w:rPr>
        <w:t>In November 2022, we entered into a Sales Agreement with Cowen and Company, LLC (the “Cowen Sales Agreement”), through which we may offer and sell shares of our common stock, having an aggregate offering of up to $150.0 million through Cowen and Company, LLC as our sales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8" w:right="319" w:bottom="1440" w:gutter="0" w:footer="0" w:header="0"/>
        </w:sectPr>
      </w:pPr>
    </w:p>
    <w:bookmarkStart w:id="23" w:name="page24"/>
    <w:bookmarkEnd w:id="23"/>
    <w:p>
      <w:pPr>
        <w:spacing w:after="0" w:line="43"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SPECIAL NOTE REGARDING FORWARD-LOOKING STATEMENTS</w:t>
      </w:r>
    </w:p>
    <w:p>
      <w:pPr>
        <w:spacing w:after="0" w:line="183" w:lineRule="exact"/>
        <w:rPr>
          <w:sz w:val="20"/>
          <w:szCs w:val="20"/>
          <w:color w:val="auto"/>
        </w:rPr>
      </w:pPr>
    </w:p>
    <w:p>
      <w:pPr>
        <w:ind w:firstLine="382"/>
        <w:spacing w:after="0" w:line="297" w:lineRule="auto"/>
        <w:rPr>
          <w:sz w:val="20"/>
          <w:szCs w:val="20"/>
          <w:color w:val="auto"/>
        </w:rPr>
      </w:pPr>
      <w:r>
        <w:rPr>
          <w:rFonts w:ascii="Arial" w:cs="Arial" w:eastAsia="Arial" w:hAnsi="Arial"/>
          <w:sz w:val="13"/>
          <w:szCs w:val="13"/>
          <w:color w:val="auto"/>
        </w:rPr>
        <w:t>This Quarterly Report on Form 10-Q (“Quarterly Report”) contains forward-looking statements within the meaning of Section 21E of the Securities Exchange Act of 1934, as amended (the “Exchange Act”), and section 27A of the Securities Act of 1933, as amended (the “Securities Act”). The words “believe,” “may,” “will,” “potentially,” “estimate,” “continue,” “anticipate,” “intend,” “could,” “would,” “project,” “plan,” and “expect,” and similar expressions that convey uncertainty of future events or outcomes, are intended to identify forward-looking statements.</w:t>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forward-looking statements in this report include, among other things, statements about:</w:t>
      </w:r>
    </w:p>
    <w:p>
      <w:pPr>
        <w:spacing w:after="0" w:line="94" w:lineRule="exact"/>
        <w:rPr>
          <w:sz w:val="20"/>
          <w:szCs w:val="20"/>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success, cost, and timing of our product candidate development activities and ongoing and planned clinical trials;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plans to develop and commercialize antibodies, including our two checkpoint agonists in clinical-stage development: rosnilimab and ANB032;</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plans to develop and outlicense imsidolimab;</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impact of the coronavirus (“COVID-19”) pandemic on our business and the United States (“U.S.”) and global economies;</w:t>
      </w:r>
    </w:p>
    <w:p>
      <w:pPr>
        <w:spacing w:after="0" w:line="93" w:lineRule="exact"/>
        <w:rPr>
          <w:rFonts w:ascii="Arial" w:cs="Arial" w:eastAsia="Arial" w:hAnsi="Arial"/>
          <w:sz w:val="14"/>
          <w:szCs w:val="14"/>
          <w:color w:val="auto"/>
        </w:rPr>
      </w:pPr>
    </w:p>
    <w:p>
      <w:pPr>
        <w:ind w:left="520" w:right="120" w:hanging="260"/>
        <w:spacing w:after="0" w:line="281"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color w:val="auto"/>
        </w:rPr>
        <w:t xml:space="preserve">the likelihood that the clinical data generated in any study we performed, are performing, or plan to perform in a non-U.S. jurisdiction will be subsequently accepted by the </w:t>
      </w:r>
      <w:r>
        <w:rPr>
          <w:rFonts w:ascii="Arial" w:cs="Arial" w:eastAsia="Arial" w:hAnsi="Arial"/>
          <w:sz w:val="14"/>
          <w:szCs w:val="14"/>
          <w:color w:val="231F20"/>
        </w:rPr>
        <w:t>U.S. Food and</w:t>
      </w:r>
      <w:r>
        <w:rPr>
          <w:rFonts w:ascii="Arial" w:cs="Arial" w:eastAsia="Arial" w:hAnsi="Arial"/>
          <w:sz w:val="14"/>
          <w:szCs w:val="14"/>
          <w:color w:val="auto"/>
        </w:rPr>
        <w:t xml:space="preserve"> </w:t>
      </w:r>
      <w:r>
        <w:rPr>
          <w:rFonts w:ascii="Arial" w:cs="Arial" w:eastAsia="Arial" w:hAnsi="Arial"/>
          <w:sz w:val="14"/>
          <w:szCs w:val="14"/>
          <w:color w:val="231F20"/>
        </w:rPr>
        <w:t xml:space="preserve">Drug Administration (“FDA”) </w:t>
      </w:r>
      <w:r>
        <w:rPr>
          <w:rFonts w:ascii="Arial" w:cs="Arial" w:eastAsia="Arial" w:hAnsi="Arial"/>
          <w:sz w:val="14"/>
          <w:szCs w:val="14"/>
          <w:color w:val="000000"/>
        </w:rPr>
        <w:t>and/or by foreign regulatory authorities outside of the jurisdiction where the study was being performed;</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timing and ability of our collaborators to develop and commercialize our partnered product candidates;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potential benefits and advantages of our product candidates and approaches versus those of our competitors;</w:t>
      </w:r>
    </w:p>
    <w:p>
      <w:pPr>
        <w:spacing w:after="0" w:line="93" w:lineRule="exact"/>
        <w:rPr>
          <w:rFonts w:ascii="Arial" w:cs="Arial" w:eastAsia="Arial" w:hAnsi="Arial"/>
          <w:sz w:val="14"/>
          <w:szCs w:val="14"/>
          <w:color w:val="auto"/>
        </w:rPr>
      </w:pPr>
    </w:p>
    <w:p>
      <w:pPr>
        <w:ind w:left="520" w:right="300" w:hanging="260"/>
        <w:spacing w:after="0" w:line="281"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ability to execute on our strategy, including advancing our product candidates, identifying emerging opportunities in key therapeutic areas, continuing to expand our wholly-owned pipeline, seeking a licensing partner for imsidolimab, and retaining rights to strategic products in key commercial markets;</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ability to obtain funding for our operations on favorable terms or at all, including funding necessary to complete further development and commercialization of our product candidates;</w:t>
      </w:r>
    </w:p>
    <w:p>
      <w:pPr>
        <w:spacing w:after="0" w:line="105" w:lineRule="exact"/>
        <w:rPr>
          <w:rFonts w:ascii="Arial" w:cs="Arial" w:eastAsia="Arial" w:hAnsi="Arial"/>
          <w:sz w:val="13"/>
          <w:szCs w:val="13"/>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general macro-economic factors, including volatility in equity markets, and fluctuations in interest rates and foreign exchange rates;</w:t>
      </w:r>
    </w:p>
    <w:p>
      <w:pPr>
        <w:spacing w:after="0" w:line="93" w:lineRule="exact"/>
        <w:rPr>
          <w:rFonts w:ascii="Arial" w:cs="Arial" w:eastAsia="Arial" w:hAnsi="Arial"/>
          <w:sz w:val="14"/>
          <w:szCs w:val="14"/>
          <w:color w:val="auto"/>
        </w:rPr>
      </w:pPr>
    </w:p>
    <w:p>
      <w:pPr>
        <w:ind w:left="520" w:right="360" w:hanging="260"/>
        <w:spacing w:after="0" w:line="281"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timing of and the ability to obtain and maintain regulatory approvals for our product candidates, partnered product candidates and/or product candidates for which we may receive royalties;</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ability to develop our product candidates;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rate and degree of market acceptance and clinical utility of any approved product candidates;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size and growth potential of the markets for any approved product candidates, and our ability to serve those markets;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commercialization, marketing, and manufacturing capabilities and strategy;</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expectations regarding our ability to obtain and maintain intellectual property protection for our product candidates;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regulatory developments in the U.S., the United Kingdom, Australia, and other foreign countries;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success of competing therapies that are or may become available;</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ability to attract and retain key scientific or management personnel;</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use of the net proceeds from our public offerings and other financing transactions;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ability to identify additional products or product candidates with significant commercial potential that are consistent with our commercial objectives;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estimates regarding expenses, future revenue, capital requirements, and needs for additional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440" w:right="419" w:bottom="1440" w:gutter="0" w:footer="0" w:header="0"/>
        </w:sectPr>
      </w:pPr>
    </w:p>
    <w:bookmarkStart w:id="24" w:name="page25"/>
    <w:bookmarkEnd w:id="24"/>
    <w:p>
      <w:pPr>
        <w:ind w:firstLine="382"/>
        <w:spacing w:after="0" w:line="260" w:lineRule="auto"/>
        <w:rPr>
          <w:sz w:val="20"/>
          <w:szCs w:val="20"/>
          <w:color w:val="auto"/>
        </w:rPr>
      </w:pPr>
      <w:r>
        <w:rPr>
          <w:rFonts w:ascii="Arial" w:cs="Arial" w:eastAsia="Arial" w:hAnsi="Arial"/>
          <w:sz w:val="14"/>
          <w:szCs w:val="14"/>
          <w:color w:val="auto"/>
        </w:rPr>
        <w:t>These forward-looking statements are subject to a number of risks, uncertainties, and assumptions, including those described in Part II, Item 1A, “Risk Factors,” and elsewhere in this Quarterly Report.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may not occur, and actual results could differ materially and adversely from those anticipated or implied in the forward-looking statements.</w:t>
      </w:r>
    </w:p>
    <w:p>
      <w:pPr>
        <w:spacing w:after="0" w:line="62" w:lineRule="exact"/>
        <w:rPr>
          <w:sz w:val="20"/>
          <w:szCs w:val="20"/>
          <w:color w:val="auto"/>
        </w:rPr>
      </w:pPr>
    </w:p>
    <w:p>
      <w:pPr>
        <w:jc w:val="both"/>
        <w:ind w:right="40" w:firstLine="382"/>
        <w:spacing w:after="0" w:line="297" w:lineRule="auto"/>
        <w:rPr>
          <w:sz w:val="20"/>
          <w:szCs w:val="20"/>
          <w:color w:val="auto"/>
        </w:rPr>
      </w:pPr>
      <w:r>
        <w:rPr>
          <w:rFonts w:ascii="Arial" w:cs="Arial" w:eastAsia="Arial" w:hAnsi="Arial"/>
          <w:sz w:val="13"/>
          <w:szCs w:val="13"/>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to conform these statements to actual results or to changes in our expectations, except as required by law.</w:t>
      </w:r>
    </w:p>
    <w:p>
      <w:pPr>
        <w:spacing w:after="0" w:line="39" w:lineRule="exact"/>
        <w:rPr>
          <w:sz w:val="20"/>
          <w:szCs w:val="20"/>
          <w:color w:val="auto"/>
        </w:rPr>
      </w:pPr>
    </w:p>
    <w:p>
      <w:pPr>
        <w:jc w:val="both"/>
        <w:ind w:right="20" w:firstLine="382"/>
        <w:spacing w:after="0" w:line="281" w:lineRule="auto"/>
        <w:rPr>
          <w:sz w:val="20"/>
          <w:szCs w:val="20"/>
          <w:color w:val="auto"/>
        </w:rPr>
      </w:pPr>
      <w:r>
        <w:rPr>
          <w:rFonts w:ascii="Arial" w:cs="Arial" w:eastAsia="Arial" w:hAnsi="Arial"/>
          <w:sz w:val="14"/>
          <w:szCs w:val="14"/>
          <w:color w:val="auto"/>
        </w:rPr>
        <w:t>You should read this Quarterly Report with the understanding that our actual future results, levels of activity, performance, and events and circumstances may be materially different from what we expect.</w:t>
      </w:r>
    </w:p>
    <w:p>
      <w:pPr>
        <w:spacing w:after="0" w:line="47" w:lineRule="exact"/>
        <w:rPr>
          <w:sz w:val="20"/>
          <w:szCs w:val="20"/>
          <w:color w:val="auto"/>
        </w:rPr>
      </w:pPr>
    </w:p>
    <w:p>
      <w:pPr>
        <w:ind w:right="140" w:firstLine="382"/>
        <w:spacing w:after="0" w:line="262" w:lineRule="auto"/>
        <w:rPr>
          <w:sz w:val="20"/>
          <w:szCs w:val="20"/>
          <w:color w:val="auto"/>
        </w:rPr>
      </w:pPr>
      <w:r>
        <w:rPr>
          <w:rFonts w:ascii="Arial" w:cs="Arial" w:eastAsia="Arial" w:hAnsi="Arial"/>
          <w:sz w:val="14"/>
          <w:szCs w:val="14"/>
          <w:color w:val="auto"/>
        </w:rPr>
        <w:t>Unless the context indicates otherwise, as used in this Quarterly Report, the terms “AnaptysBio,” “company,” “we,” “us” and “our” refer to AnaptysBio, Inc., a Delaware corporation, and its subsidiaries taken as a whole, unless otherwise noted. AnaptysBio is our common law trademark. This Quarterly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7" w:right="339" w:bottom="1440" w:gutter="0" w:footer="0" w:header="0"/>
        </w:sectPr>
      </w:pPr>
    </w:p>
    <w:bookmarkStart w:id="25" w:name="page26"/>
    <w:bookmarkEnd w:id="25"/>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98" w:lineRule="exact"/>
        <w:rPr>
          <w:sz w:val="20"/>
          <w:szCs w:val="20"/>
          <w:color w:val="auto"/>
        </w:rPr>
      </w:pPr>
    </w:p>
    <w:p>
      <w:pPr>
        <w:ind w:right="40" w:firstLine="382"/>
        <w:spacing w:after="0" w:line="258" w:lineRule="auto"/>
        <w:rPr>
          <w:sz w:val="20"/>
          <w:szCs w:val="20"/>
          <w:color w:val="auto"/>
        </w:rPr>
      </w:pPr>
      <w:r>
        <w:rPr>
          <w:rFonts w:ascii="Arial" w:cs="Arial" w:eastAsia="Arial" w:hAnsi="Arial"/>
          <w:sz w:val="14"/>
          <w:szCs w:val="14"/>
          <w:i w:val="1"/>
          <w:iCs w:val="1"/>
          <w:color w:val="auto"/>
        </w:rPr>
        <w:t>You should read the following discussion and analysis of our financial condition and results of operations together with our unaudited consolidated financial statements and related notes for the nine months ended September 30, 2022, included in Part I, Item 1 of this report and with our audited consolidated financial statements and related notes thereto for the year ended December 31, 2021 included in our Annual Report on Form 10-K. This discussion and other sections of this Quarterly Report contain forward-looking statements that involve risks and uncertainties, such as our plans, objectives, expectations, intentions, and beliefs. Our actual results could differ materially from those discussed in these forward-looking statements. Factors that could cause or contribute to such differences include, but are not limited to, those identified below and those discussed in the section entitled “Risk Factors” included in Part II, Item 1A of this Quarterly Report. You should also carefully read “Special Note Regarding Forward-Looking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98" w:lineRule="exact"/>
        <w:rPr>
          <w:sz w:val="20"/>
          <w:szCs w:val="20"/>
          <w:color w:val="auto"/>
        </w:rPr>
      </w:pPr>
    </w:p>
    <w:p>
      <w:pPr>
        <w:ind w:right="60" w:firstLine="382"/>
        <w:spacing w:after="0" w:line="256" w:lineRule="auto"/>
        <w:rPr>
          <w:sz w:val="20"/>
          <w:szCs w:val="20"/>
          <w:color w:val="auto"/>
        </w:rPr>
      </w:pPr>
      <w:r>
        <w:rPr>
          <w:rFonts w:ascii="Arial" w:cs="Arial" w:eastAsia="Arial" w:hAnsi="Arial"/>
          <w:sz w:val="14"/>
          <w:szCs w:val="14"/>
          <w:color w:val="auto"/>
        </w:rPr>
        <w:t xml:space="preserve">We are a clinical-stage biotechnology company focused on delivering innovative immunology therapeutics. We are developing immune cell modulators, including two checkpoint agonists in clinical-stage development, for autoimmune and inflammatory disease: rosnilimab, our anti-PD-1 agonist program, previously referred to as ANB030, which is currently in a Phase 2 clinical trial for the treatment of moderate-to-severe alopecia areata; and ANB032, our anti-BTLA agonist program. In addition, we are developing imsidolimab, our anti-IL-36R antibody, which is currently in a Phase 3 clinical trial for the treatment of generalized pustular psoriasis, or GPP. We also have additional preclinical programs and discovery research of potentially innovative immunology therapeutics, including ANB033, an anti-CD122 antagonist antibody for the treatment of inflammatory diseases. We have also developed multiple therapeutic antibodies in an immuno-oncology collaboration with GSK, including an anti-PD-1 antagonist antibody (JEMPERLI (dostarlimab-gxly)), an anti-TIM-3 antagonist antibody (cobolimab, GSK4069889) and an anti-LAG-3 antagonist antibody (GSK4074386). We currently generate revenue from milestones and royalties achieved under our immuno-oncology collaboration with GSK. Our antibody pipeline has been developed using our proprietary somatic hypermutation, or SHM platform, which uses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SHM for antibody discovery and is designed to replicate key features of the human immune system to overcome the limitations of competing antibody discovery technologies.</w:t>
      </w:r>
    </w:p>
    <w:p>
      <w:pPr>
        <w:spacing w:after="0" w:line="67" w:lineRule="exact"/>
        <w:rPr>
          <w:sz w:val="20"/>
          <w:szCs w:val="20"/>
          <w:color w:val="auto"/>
        </w:rPr>
      </w:pPr>
    </w:p>
    <w:p>
      <w:pPr>
        <w:ind w:right="100" w:firstLine="382"/>
        <w:spacing w:after="0" w:line="267" w:lineRule="auto"/>
        <w:rPr>
          <w:sz w:val="20"/>
          <w:szCs w:val="20"/>
          <w:color w:val="auto"/>
        </w:rPr>
      </w:pPr>
      <w:r>
        <w:rPr>
          <w:rFonts w:ascii="Arial" w:cs="Arial" w:eastAsia="Arial" w:hAnsi="Arial"/>
          <w:sz w:val="14"/>
          <w:szCs w:val="14"/>
          <w:color w:val="auto"/>
        </w:rPr>
        <w:t>Our immune cell modulators, including anti-inflammatory checkpoint agonists for PD-1 and BTLA, treat inflammatory disorders by down regulating immune responses mediated by multiple immune cell types including T-cells, B-cells, and dendritic cells. We believe these molecules have potential applicability across a broad range of autoimmune and inflammatory disorders including dermatology, rheumatology, gastroenterology, respiratory, and neurology therapeutic areas.</w:t>
      </w:r>
    </w:p>
    <w:p>
      <w:pPr>
        <w:spacing w:after="0" w:line="57" w:lineRule="exact"/>
        <w:rPr>
          <w:sz w:val="20"/>
          <w:szCs w:val="20"/>
          <w:color w:val="auto"/>
        </w:rPr>
      </w:pPr>
    </w:p>
    <w:p>
      <w:pPr>
        <w:ind w:right="220" w:firstLine="382"/>
        <w:spacing w:after="0" w:line="281" w:lineRule="auto"/>
        <w:rPr>
          <w:sz w:val="20"/>
          <w:szCs w:val="20"/>
          <w:color w:val="auto"/>
        </w:rPr>
      </w:pPr>
      <w:r>
        <w:rPr>
          <w:rFonts w:ascii="Arial" w:cs="Arial" w:eastAsia="Arial" w:hAnsi="Arial"/>
          <w:sz w:val="14"/>
          <w:szCs w:val="14"/>
          <w:color w:val="auto"/>
        </w:rPr>
        <w:t>Rosnilimab, previously referred to as ANB030, is our wholly-owned anti-PD-1 agonist antibody program designed to suppress aberrant T-cell driven inflammation by augmenting signaling through PD-1 or targeted depletion of PD-1+ T-cells.</w:t>
      </w:r>
    </w:p>
    <w:p>
      <w:pPr>
        <w:spacing w:after="0" w:line="47" w:lineRule="exact"/>
        <w:rPr>
          <w:sz w:val="20"/>
          <w:szCs w:val="20"/>
          <w:color w:val="auto"/>
        </w:rPr>
      </w:pPr>
    </w:p>
    <w:p>
      <w:pPr>
        <w:ind w:right="60" w:firstLine="382"/>
        <w:spacing w:after="0" w:line="257" w:lineRule="auto"/>
        <w:rPr>
          <w:sz w:val="20"/>
          <w:szCs w:val="20"/>
          <w:color w:val="auto"/>
        </w:rPr>
      </w:pPr>
      <w:r>
        <w:rPr>
          <w:rFonts w:ascii="Arial" w:cs="Arial" w:eastAsia="Arial" w:hAnsi="Arial"/>
          <w:sz w:val="14"/>
          <w:szCs w:val="14"/>
          <w:color w:val="auto"/>
        </w:rPr>
        <w:t>Rosnilimab binds to PD-1 on a membrane proximal epitope that is on the opposite side of the receptor to that utilized by PD-L1 for binding, and thus preserves the ability of PD-L1 to agonize PD-1. In the setting of T cell activation, rosnilimab binding has been shown to induce agonistic signaling and the recruitment of SHP2 to PD-1, in a manner similar to that by PD-L1. In preclinical assays, rosnilimab prevented T cell expansion in antigen-specific response assays to numerous antigens, demonstrating prevention of T cell expansion and reduction in the secretion of inflammatory cytokines associated with multiple T cell types implicated in inflammatory pathology when dysregulated. In addition to direct agonistic activity, rosnilimab is an IgG1k antibody with effector function that can drive targeted depletion of PD-1+ T cells via the induction of antibody-dependent cellular cytotoxicity (ADCC). We believe this component of the mechanism of rosnilimab may provide more durable immune modulation by effectively eliminating the most pathogenic antigen-specific T cells in the setting of autoimmunity and inflammation. Genetic mutations in the PD-1 pathway are known to be associated with increased susceptibility to human inflammatory diseases, and hence we believe that rosnilimab is applicable to diseases where PD-1 checkpoint receptor function may be insufficient to maintain immune homeostasis.</w:t>
      </w:r>
    </w:p>
    <w:p>
      <w:pPr>
        <w:spacing w:after="0" w:line="64" w:lineRule="exact"/>
        <w:rPr>
          <w:sz w:val="20"/>
          <w:szCs w:val="20"/>
          <w:color w:val="auto"/>
        </w:rPr>
      </w:pPr>
    </w:p>
    <w:p>
      <w:pPr>
        <w:ind w:right="180" w:firstLine="382"/>
        <w:spacing w:after="0" w:line="281" w:lineRule="auto"/>
        <w:rPr>
          <w:sz w:val="20"/>
          <w:szCs w:val="20"/>
          <w:color w:val="auto"/>
        </w:rPr>
      </w:pPr>
      <w:r>
        <w:rPr>
          <w:rFonts w:ascii="Arial" w:cs="Arial" w:eastAsia="Arial" w:hAnsi="Arial"/>
          <w:sz w:val="14"/>
          <w:szCs w:val="14"/>
          <w:color w:val="auto"/>
        </w:rPr>
        <w:t xml:space="preserve">We presented preclinical data for rosnilimab at the Festival of Biologics Annual Meeting in March 2020, including translational data demonstrating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activity of rosnilimab in alopecia areata patient samples.</w:t>
      </w:r>
    </w:p>
    <w:p>
      <w:pPr>
        <w:spacing w:after="0" w:line="47" w:lineRule="exact"/>
        <w:rPr>
          <w:sz w:val="20"/>
          <w:szCs w:val="20"/>
          <w:color w:val="auto"/>
        </w:rPr>
      </w:pPr>
    </w:p>
    <w:p>
      <w:pPr>
        <w:ind w:firstLine="382"/>
        <w:spacing w:after="0" w:line="267" w:lineRule="auto"/>
        <w:rPr>
          <w:sz w:val="20"/>
          <w:szCs w:val="20"/>
          <w:color w:val="auto"/>
        </w:rPr>
      </w:pPr>
      <w:r>
        <w:rPr>
          <w:rFonts w:ascii="Arial" w:cs="Arial" w:eastAsia="Arial" w:hAnsi="Arial"/>
          <w:sz w:val="14"/>
          <w:szCs w:val="14"/>
          <w:color w:val="auto"/>
        </w:rPr>
        <w:t>We announced positive top-line data from a healthy volunteer Phase 1 clinical trial of rosnilimab in November 2021. A total of 144 subjects were enrolled in the randomized, double-blind, placebo-controlled healthy volunteer Phase 1 trial, where single ascending dose (SAD) cohorts were administered single subcutaneous or IV doses of rosnilimab ranging between 0.02mg to 600mg or placebo, while multiple ascending dose (MAD) cohorts received four weekly subcutaneous doses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440" w:right="339" w:bottom="1440" w:gutter="0" w:footer="0" w:header="0"/>
        </w:sectPr>
      </w:pPr>
    </w:p>
    <w:bookmarkStart w:id="26" w:name="page27"/>
    <w:bookmarkEnd w:id="26"/>
    <w:p>
      <w:pPr>
        <w:ind w:right="120"/>
        <w:spacing w:after="0" w:line="304" w:lineRule="auto"/>
        <w:rPr>
          <w:sz w:val="20"/>
          <w:szCs w:val="20"/>
          <w:color w:val="auto"/>
        </w:rPr>
      </w:pPr>
      <w:r>
        <w:rPr>
          <w:rFonts w:ascii="Arial" w:cs="Arial" w:eastAsia="Arial" w:hAnsi="Arial"/>
          <w:sz w:val="12"/>
          <w:szCs w:val="12"/>
          <w:color w:val="auto"/>
        </w:rPr>
        <w:t>rosnilimab ranging between 60mg and 400mg or placebo. Rosnilimab was generally well-tolerated and no dose limiting toxicities were observed. Two serious adverse events were reported in single dose cohorts, including obstructive pancreatitis in a placebo-dosed subject and COVID-19 infection in a rosnilimab-dosed subject leading to discontinuation. The COVID-19 infection was deemed</w:t>
      </w:r>
    </w:p>
    <w:p>
      <w:pPr>
        <w:spacing w:after="0"/>
        <w:rPr>
          <w:sz w:val="20"/>
          <w:szCs w:val="20"/>
          <w:color w:val="auto"/>
        </w:rPr>
      </w:pPr>
      <w:r>
        <w:rPr>
          <w:rFonts w:ascii="Arial" w:cs="Arial" w:eastAsia="Arial" w:hAnsi="Arial"/>
          <w:sz w:val="14"/>
          <w:szCs w:val="14"/>
          <w:color w:val="auto"/>
        </w:rPr>
        <w:t>unrelated to treatment. No serious adverse events were reported in subjects receiving multiple doses of rosnilimab or placebo</w:t>
      </w:r>
      <w:r>
        <w:rPr>
          <w:rFonts w:ascii="Arial" w:cs="Arial" w:eastAsia="Arial" w:hAnsi="Arial"/>
          <w:sz w:val="16"/>
          <w:szCs w:val="16"/>
          <w:color w:val="008080"/>
        </w:rPr>
        <w:t>.</w:t>
      </w:r>
    </w:p>
    <w:p>
      <w:pPr>
        <w:spacing w:after="0" w:line="92" w:lineRule="exact"/>
        <w:rPr>
          <w:sz w:val="20"/>
          <w:szCs w:val="20"/>
          <w:color w:val="auto"/>
        </w:rPr>
      </w:pPr>
    </w:p>
    <w:p>
      <w:pPr>
        <w:ind w:firstLine="382"/>
        <w:spacing w:after="0" w:line="277" w:lineRule="auto"/>
        <w:rPr>
          <w:sz w:val="20"/>
          <w:szCs w:val="20"/>
          <w:color w:val="auto"/>
        </w:rPr>
      </w:pPr>
      <w:r>
        <w:rPr>
          <w:rFonts w:ascii="Arial" w:cs="Arial" w:eastAsia="Arial" w:hAnsi="Arial"/>
          <w:sz w:val="13"/>
          <w:szCs w:val="13"/>
          <w:color w:val="auto"/>
        </w:rPr>
        <w:t xml:space="preserve">Pharmacokinetic analyses demonstrated a favorable profile for rosnilimab with an estimated two-week half-life for subcutaneous and IV routes of administration. Full PD-1 receptor occupancy was observed rapidly during the first week following single subcutaneous rosnilimab doses at or above 60mg, and was maintained for at least 30 days at or above 200mg single subcutaneous doses. These data support monthly subcutaneous dosing of rosnilimab for future patient trials. Rosnilimab’s pharmacodynamic activity resulted in rapid and sustained reduction in the quantity and functional activity of PD-1+ T cells, which are known to be pathogenic drivers of inflammatory diseases. Conventional T (Tcon) cells (CD3+, CD25 low) PD-1+, which represented approximately 25% of peripheral T cells at baseline, were reduced by 50%, including in both CD4+ and CD8+ subsets, in a dose-dependent manner and in correlation with receptor occupancy. This effect was maximized on high-PD-1+ Tcon cells, which represented approximately 5% of peripheral T cells, with 90% reduction relative to baseline. Conversely, total T cells (CD3+), total Tcon cells (CD3+, CD25low) and total regulatory T (Treg) cells (CD3+, CD4+, CD25 bright, CD127-) were unchanged (&lt;5% change from baseline), resulting in a consistent ratio of PD-1+ Tcon cells to total Treg cells post-treatment in healthy volunteers. No effect (&lt;5% reduction from baseline) was observed on any of the aforementioned cell types in placebo-dosed subjects. In addition, an antigen-specific functional T cell recall response, measured as </w:t>
      </w:r>
      <w:r>
        <w:rPr>
          <w:rFonts w:ascii="Arial" w:cs="Arial" w:eastAsia="Arial" w:hAnsi="Arial"/>
          <w:sz w:val="13"/>
          <w:szCs w:val="13"/>
          <w:i w:val="1"/>
          <w:iCs w:val="1"/>
          <w:color w:val="auto"/>
        </w:rPr>
        <w:t>ex vivo</w:t>
      </w:r>
      <w:r>
        <w:rPr>
          <w:rFonts w:ascii="Arial" w:cs="Arial" w:eastAsia="Arial" w:hAnsi="Arial"/>
          <w:sz w:val="13"/>
          <w:szCs w:val="13"/>
          <w:color w:val="auto"/>
        </w:rPr>
        <w:t xml:space="preserve"> interferon-gamma released in response to tetanus toxoid challenge, was inhibited in a receptor occupancy dependent manner and was consistent with the observed reduction of PD-1+ Tcon cells, to a maximum of approximately 90% relative to baseline within 30 days following single rosnilimab dose, while placebo administration had no effect. Based upon these data, we believe rosnilimab’s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mechanism has the potential to treat T-cell driven human inflammatory diseases.</w:t>
      </w:r>
    </w:p>
    <w:p>
      <w:pPr>
        <w:spacing w:after="0" w:line="54" w:lineRule="exact"/>
        <w:rPr>
          <w:sz w:val="20"/>
          <w:szCs w:val="20"/>
          <w:color w:val="auto"/>
        </w:rPr>
      </w:pPr>
    </w:p>
    <w:p>
      <w:pPr>
        <w:ind w:right="80" w:firstLine="382"/>
        <w:spacing w:after="0" w:line="262" w:lineRule="auto"/>
        <w:rPr>
          <w:sz w:val="20"/>
          <w:szCs w:val="20"/>
          <w:color w:val="auto"/>
        </w:rPr>
      </w:pPr>
      <w:r>
        <w:rPr>
          <w:rFonts w:ascii="Arial" w:cs="Arial" w:eastAsia="Arial" w:hAnsi="Arial"/>
          <w:sz w:val="14"/>
          <w:szCs w:val="14"/>
          <w:color w:val="auto"/>
        </w:rPr>
        <w:t>During the fourth quarter of 2021, we initiated AZURE, a randomized placebo-controlled 45-patient Phase 2 proof-of-mechanism trial of rosnilimab in moderate-to-severe alopecia areata patients with at least 50% scalp hair loss for at least 6 months prior to enrollment, where the primary endpoint is change in severity of alopecia tool (SALT) relative to baseline. Additional secondary and exploratory endpoints are also being assessed to support understanding of the mechanism of action for rosnilimab in PD-1+ T cell mediated immune diseases. Top-line data from the AZURE clinical trial is anticipated during the first quarter of 2023.</w:t>
      </w:r>
    </w:p>
    <w:p>
      <w:pPr>
        <w:spacing w:after="0" w:line="61" w:lineRule="exact"/>
        <w:rPr>
          <w:sz w:val="20"/>
          <w:szCs w:val="20"/>
          <w:color w:val="auto"/>
        </w:rPr>
      </w:pPr>
    </w:p>
    <w:p>
      <w:pPr>
        <w:ind w:right="120" w:firstLine="382"/>
        <w:spacing w:after="0" w:line="258" w:lineRule="auto"/>
        <w:rPr>
          <w:sz w:val="20"/>
          <w:szCs w:val="20"/>
          <w:color w:val="auto"/>
        </w:rPr>
      </w:pPr>
      <w:r>
        <w:rPr>
          <w:rFonts w:ascii="Arial" w:cs="Arial" w:eastAsia="Arial" w:hAnsi="Arial"/>
          <w:sz w:val="14"/>
          <w:szCs w:val="14"/>
          <w:color w:val="auto"/>
        </w:rPr>
        <w:t>Alopecia is an inflammatory disease that is driven by immune cell-mediated killing of hair follicles when the normal immune-privileged state of the area around the follicle is disrupted by a stress event precipitating potent PD-1+ T cell activation leading to excessive IFNγ secretion and aberrant hair follicle major histocompatibility complex (MHC) expression. Experimental data have shown antigen-specific T cell activation in alopecia patient peripheral blood mononuclear cells suggesting that the autoimmunity is driven by major histocompatibility complex presentation of peptides derived from keratinocytes and melanocytes in the hair follicle. We believe that the activated PD-1+ T cells, found in the vicinity of hair follicles in alopecia areata, are a crucial node in the inflammatory cycle driving the pathology of the disease, and that their suppression or clearance (and amelioration of their cytotoxic activity and IFNγ secretion) may be sufficient to restore immune homeostasis and allow the re-initiation of hair growth.</w:t>
      </w:r>
    </w:p>
    <w:p>
      <w:pPr>
        <w:spacing w:after="0" w:line="65" w:lineRule="exact"/>
        <w:rPr>
          <w:sz w:val="20"/>
          <w:szCs w:val="20"/>
          <w:color w:val="auto"/>
        </w:rPr>
      </w:pPr>
    </w:p>
    <w:p>
      <w:pPr>
        <w:ind w:right="40" w:firstLine="382"/>
        <w:spacing w:after="0" w:line="279" w:lineRule="auto"/>
        <w:rPr>
          <w:sz w:val="20"/>
          <w:szCs w:val="20"/>
          <w:color w:val="auto"/>
        </w:rPr>
      </w:pPr>
      <w:r>
        <w:rPr>
          <w:rFonts w:ascii="Arial" w:cs="Arial" w:eastAsia="Arial" w:hAnsi="Arial"/>
          <w:sz w:val="13"/>
          <w:szCs w:val="13"/>
          <w:color w:val="auto"/>
        </w:rPr>
        <w:t>ANB032 is our wholly-owned anti-BTLA agonist antibody program designed to augment BTLA signaling, which is broadly applicable to human inflammatory diseases associated with lymphoid and myeloid immune cell dysregulation. Genetic studies have demonstrated that BTLA pathway mutations increase human susceptibility to multiple autoimmune diseases and insufficient BTLA signaling can lead to dysregulated T or B cell responses and changes in the function of dendritic cells. BTLA modulates signaling of HVEM, governing HVEM’s interaction with its natural ligands, including LIGHT. Polymorphisms in BTLA or molecules in the BTLA pathway such as HVEM are associated with inflammatory diseases, including aberrant T cell activity, B cell activity and dysregulation of downstream humoral immune responses (IgE, IgG secretion). Similarly, BTLA knockout animals have spontaneous or enhanced severity of inflammatory disease, demonstrating aberrant T cell activity, B cell activity and dysregulation of pathogenic antibody responses upon immunization. ANB032 is anticipated to down-modulate the activity of T cells, B cells and dendritic cells via several potential mechanisms: BTLA agonistic activity, stabilization of the interaction of BTLA and HVEM in cis which prevents pro-inflammatory signaling mediated by HVEM ligands such as LIGHT, and abrogation of pro-inflammatory HVEM signaling mediated by BTLA in trans.</w:t>
      </w:r>
    </w:p>
    <w:p>
      <w:pPr>
        <w:spacing w:after="0" w:line="53" w:lineRule="exact"/>
        <w:rPr>
          <w:sz w:val="20"/>
          <w:szCs w:val="20"/>
          <w:color w:val="auto"/>
        </w:rPr>
      </w:pPr>
    </w:p>
    <w:p>
      <w:pPr>
        <w:ind w:right="440" w:firstLine="382"/>
        <w:spacing w:after="0" w:line="281" w:lineRule="auto"/>
        <w:rPr>
          <w:sz w:val="20"/>
          <w:szCs w:val="20"/>
          <w:color w:val="auto"/>
        </w:rPr>
      </w:pPr>
      <w:r>
        <w:rPr>
          <w:rFonts w:ascii="Arial" w:cs="Arial" w:eastAsia="Arial" w:hAnsi="Arial"/>
          <w:sz w:val="14"/>
          <w:szCs w:val="14"/>
          <w:color w:val="auto"/>
        </w:rPr>
        <w:t>We announced positive top-line data from a healthy volunteer Phase 1 trial of ANB032, under an Australian Clinical Trial Notification (CTN), in April 2022. A total of 96 subjects were enrolled in the randomized, double-blind, placebo-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27" w:name="page28"/>
    <w:bookmarkEnd w:id="27"/>
    <w:p>
      <w:pPr>
        <w:spacing w:after="0" w:line="281" w:lineRule="auto"/>
        <w:rPr>
          <w:sz w:val="20"/>
          <w:szCs w:val="20"/>
          <w:color w:val="auto"/>
        </w:rPr>
      </w:pPr>
      <w:r>
        <w:rPr>
          <w:rFonts w:ascii="Arial" w:cs="Arial" w:eastAsia="Arial" w:hAnsi="Arial"/>
          <w:sz w:val="14"/>
          <w:szCs w:val="14"/>
          <w:color w:val="auto"/>
        </w:rPr>
        <w:t>controlled healthy volunteer Phase 1 trial, where single ascending dose (SAD) cohorts received subcutaneous or IV single doses of ANB032 or placebo, while multiple ascending dose (MAD) cohorts received four weekly subcutaneous doses of ANB032 or placebo.</w:t>
      </w:r>
    </w:p>
    <w:p>
      <w:pPr>
        <w:spacing w:after="0" w:line="47" w:lineRule="exact"/>
        <w:rPr>
          <w:sz w:val="20"/>
          <w:szCs w:val="20"/>
          <w:color w:val="auto"/>
        </w:rPr>
      </w:pPr>
    </w:p>
    <w:p>
      <w:pPr>
        <w:ind w:right="140" w:firstLine="382"/>
        <w:spacing w:after="0" w:line="262" w:lineRule="auto"/>
        <w:rPr>
          <w:sz w:val="20"/>
          <w:szCs w:val="20"/>
          <w:color w:val="auto"/>
        </w:rPr>
      </w:pPr>
      <w:r>
        <w:rPr>
          <w:rFonts w:ascii="Arial" w:cs="Arial" w:eastAsia="Arial" w:hAnsi="Arial"/>
          <w:sz w:val="14"/>
          <w:szCs w:val="14"/>
          <w:color w:val="auto"/>
        </w:rPr>
        <w:t>ANB032 was generally well-tolerated, no dose limiting toxicities were observed and there were no discontinuations due to adverse events other than one patient quarantined for potential COVID infection. No serious adverse events (SAEs) were reported. Most adverse events were considered to be mild-to-moderate, of short duration, resolved without sequelae and occurred sporadically in a dose-independent manner. Three severe adverse events (two blood creatine phosphokinase (CPK) increase and one aspartate aminotransferase (AST) increase), none of which were treatment-related, were reported in two subjects in the lowest dose MAD cohort.</w:t>
      </w:r>
    </w:p>
    <w:p>
      <w:pPr>
        <w:spacing w:after="0" w:line="61" w:lineRule="exact"/>
        <w:rPr>
          <w:sz w:val="20"/>
          <w:szCs w:val="20"/>
          <w:color w:val="auto"/>
        </w:rPr>
      </w:pPr>
    </w:p>
    <w:p>
      <w:pPr>
        <w:ind w:right="20" w:firstLine="382"/>
        <w:spacing w:after="0" w:line="256" w:lineRule="auto"/>
        <w:rPr>
          <w:sz w:val="20"/>
          <w:szCs w:val="20"/>
          <w:color w:val="auto"/>
        </w:rPr>
      </w:pPr>
      <w:r>
        <w:rPr>
          <w:rFonts w:ascii="Arial" w:cs="Arial" w:eastAsia="Arial" w:hAnsi="Arial"/>
          <w:sz w:val="14"/>
          <w:szCs w:val="14"/>
          <w:color w:val="auto"/>
        </w:rPr>
        <w:t>Pharmacokinetic analyses demonstrated a favorable profile for ANB032 including an approximate two-week half-life for subcutaneous and IV routes of administration. ANB032 demonstrated rapid and sustained target engagement on both T cells and B cells with full BTLA receptor occupancy was observed within hours and was maintained for greater than 30 days following IV or subcutaneous ANB032 dosing. ANB032 pharmacodynamic activity resulted in reduction of cell surface BTLA expression on T cells and B cells following dosing. A portion of the cell surface BTLA was shed from the cells as soluble BTLA (sBTLA), while the residual approximately 60% of baseline BTLA on T cells and B cells remained occupied by ANB032. The duration of reduced BTLA expression correlated with receptor occupancy in a dose-dependent manner and was maintained for greater than 30 days following IV or subcutaneous ANB032 dosing. Importantly, reduction of cell surface BTLA expression and the shedding of a portion of the cell surface BTLA as soluble BTLA, which was previously demonstrated to occur with ANB032 treatment in animal models of inflammation where robust efficacy was observed, confirmed the pharmacodynamic activity of ANB032 in humans. Based upon these data, we believe ANB032’s in vivo mechanism has the potential to broadly treat T and B-cell driven human inflammatory diseases. We anticipate submitting an IND for a Phase 2 clinical trial with ANB032 during the fourth quarter of 2022 and initiating a Phase 2 clinical trial in the first half of 2023.</w:t>
      </w:r>
    </w:p>
    <w:p>
      <w:pPr>
        <w:spacing w:after="0" w:line="67" w:lineRule="exact"/>
        <w:rPr>
          <w:sz w:val="20"/>
          <w:szCs w:val="20"/>
          <w:color w:val="auto"/>
        </w:rPr>
      </w:pPr>
    </w:p>
    <w:p>
      <w:pPr>
        <w:ind w:firstLine="382"/>
        <w:spacing w:after="0" w:line="275" w:lineRule="auto"/>
        <w:rPr>
          <w:sz w:val="20"/>
          <w:szCs w:val="20"/>
          <w:color w:val="auto"/>
        </w:rPr>
      </w:pPr>
      <w:r>
        <w:rPr>
          <w:rFonts w:ascii="Arial" w:cs="Arial" w:eastAsia="Arial" w:hAnsi="Arial"/>
          <w:sz w:val="13"/>
          <w:szCs w:val="13"/>
          <w:color w:val="auto"/>
        </w:rPr>
        <w:t>Imsidolimab, our wholly-owned IL-36R antibody previously referred to as ANB019, inhibits the interleukin-36 receptor (IL-36R), and is being developed for the treatment of GPP. We completed a Phase 1 clinical trial in healthy volunteers, which was presented at the European Academy of Allergy and Clinical Immunology in 2018, where imsidolimab was well-tolerated by all subjects, no dose-limiting toxicities were observed, and no serious adverse events were reported among any subjects in the clinical trial. In July 2020, the FDA granted Orphan Drug Designation for imsidolimab for the treatment of patients with GPP. We completed an open-label, multi-dose, single-arm Phase 2 clinical trial of imsidolimab in 8 GPP patients, also referred to as the GALLOP clinical trial, where top-line data through week 16 was presented at the European Academy of Dermatology and Venerology (EADV) Congress on October 2, 2021. In this trial, 6 of 8 (75%) patients treated with imsidolimab monotherapy achieved the primary endpoint of response on the clinical global impression (CGI) scale at week 4 and week 16, without requiring rescue medication. Two of 8 (25%) patients were considered to have not met the primary endpoint because they dropped out of the trial prior to Day 29. The Modified Japanese Dermatology Association severity index total score (mJDA-SI), which incorporates both dermatological and systemic aspects of GPP, decreased for patients on average by 29% at week 1, 54% at week 4 and 58% at week 16. Erythema with pustules, which clinically defines GPP, decreased by 60% at week 1, 94% by week 4 and 98% by week 16. Patients achieved a reduction in the Dermatology Life Quality Index (DLQI), which is a patient-reported measure, of 6 points at week 4 and 11 points by week 16, each of which exceeded the minimal clinically importance difference (MCID) of 4 points. GPP Physician Global Assessment (GPPPGA) scale was implemented by protocol amendment during the course of the trial and was assessed in 4 of the 8 enrolled patients, where zero (clear) or 1 (almost clear) response was achieved in 2 (50%) patients at week 4 and 3 (75%) patients at week 16. Genotypic testing indicated homozygous wild-type IL-36RN, CARD14 and AP1S3 alleles for all 8 patients. Through week 16, anti-drug antibodies were only detected in one patient, which occurred at week 12 and did not impact imsidolimab pharmacokinetics or efficacy. Imsidolimab was generally well-tolerated, and most treatment-emergent adverse events were mild to moderate in severity and resolved without sequelae. No infusion or injection site reactions were observed. One patient dropped out of the clinical trial due to a diagnosis of Staphylococcal aureus bacteremia in the first week, which was a serious adverse event deemed to be possibly drug-related. Because the patient was symptomatic prior to dosing and had a prior medical history of bacteremia, a common comorbidity of GPP, we do not believe this event is likely attributable to imsidolimab. Another patient dropped out of the study on Day 22 due to investigator reported inadequate efficacy. One patient contracted COVID-19 during the course of the clinical trial, which was deemed a serious adverse event unrelated to imsidolimab, and did not lead to study discontinuation. Medical claims analyses conducted by IQVIA indicate approximately 37,000 unique patients were diagnosed with GPP at least once, and approximately 15,000 unique patients were diagnosed with GPP at least twice, by a physician between 2017 and 2019 using the International Classification of Diseases 10th Revision (ICD-10) diagnostic code pertaining to GPP.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28" w:name="page29"/>
    <w:bookmarkEnd w:id="28"/>
    <w:p>
      <w:pPr>
        <w:ind w:right="20" w:firstLine="382"/>
        <w:spacing w:after="0" w:line="257" w:lineRule="auto"/>
        <w:rPr>
          <w:sz w:val="20"/>
          <w:szCs w:val="20"/>
          <w:color w:val="auto"/>
        </w:rPr>
      </w:pPr>
      <w:r>
        <w:rPr>
          <w:rFonts w:ascii="Arial" w:cs="Arial" w:eastAsia="Arial" w:hAnsi="Arial"/>
          <w:sz w:val="14"/>
          <w:szCs w:val="14"/>
          <w:color w:val="auto"/>
        </w:rPr>
        <w:t>We met with the FDA during the second quarter of 2021 for an end-of-Phase 2 meeting to review an orphan disease registration plan for imsidolimab for the treatment of GPP. We have initiated two Phase 3 trials for imsidolimab for GPP. The first, called GEMINI-1, will enroll approximately 45 moderate-to-severe GPP patients, each undergoing an active flare at baseline, which will be randomized equally to receive a single dose of 750mg intravenous (“IV”) imsidolimab, 300mg IV imsidolimab, or placebo. The primary endpoint of the Phase 3 program is the proportion of patients achieving clear or almost clear skin as determined by a GPPPGA score of zero or 1 at week 4 of GEMINI-1. Patients completing the GEMINI-1 trial will subsequently be enrolled in GEMINI-2, our second Phase 3 trial for imsidolimab in GPP, where they will receive monthly doses of 200mg subcutaneous imsidolimab or placebo depending upon whether they are responders, partial responders or non-responders to treatment under GEMINI-1. The objective of GEMINI-2 is to assess the efficacy and safety of imsidolimab after 3 years of monthly dosing. Top-line data from an interim analysis of GEMINI-1 is anticipated in the fourth quarter of 2023.</w:t>
      </w:r>
    </w:p>
    <w:p>
      <w:pPr>
        <w:spacing w:after="0" w:line="66" w:lineRule="exact"/>
        <w:rPr>
          <w:sz w:val="20"/>
          <w:szCs w:val="20"/>
          <w:color w:val="auto"/>
        </w:rPr>
      </w:pPr>
    </w:p>
    <w:p>
      <w:pPr>
        <w:ind w:right="140" w:firstLine="382"/>
        <w:spacing w:after="0" w:line="281" w:lineRule="auto"/>
        <w:rPr>
          <w:sz w:val="20"/>
          <w:szCs w:val="20"/>
          <w:color w:val="auto"/>
        </w:rPr>
      </w:pPr>
      <w:r>
        <w:rPr>
          <w:rFonts w:ascii="Arial" w:cs="Arial" w:eastAsia="Arial" w:hAnsi="Arial"/>
          <w:sz w:val="14"/>
          <w:szCs w:val="14"/>
          <w:color w:val="auto"/>
        </w:rPr>
        <w:t>We are conducting a global registry of GPP patients, also referred to as the RADIANCE study, which we anticipate will improve understanding of the patient journey and assist in enrollment of future GPP clinical trials.</w:t>
      </w:r>
    </w:p>
    <w:p>
      <w:pPr>
        <w:spacing w:after="0" w:line="4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We announced in August 2022 that we intend to complete execution of our Phase 3 program in GPP and outlicense imsidolimab prior to potential FDA approval.</w:t>
      </w:r>
    </w:p>
    <w:p>
      <w:pPr>
        <w:spacing w:after="0" w:line="94" w:lineRule="exact"/>
        <w:rPr>
          <w:sz w:val="20"/>
          <w:szCs w:val="20"/>
          <w:color w:val="auto"/>
        </w:rPr>
      </w:pPr>
    </w:p>
    <w:p>
      <w:pPr>
        <w:ind w:right="40" w:firstLine="382"/>
        <w:spacing w:after="0" w:line="230" w:lineRule="auto"/>
        <w:rPr>
          <w:sz w:val="20"/>
          <w:szCs w:val="20"/>
          <w:color w:val="auto"/>
        </w:rPr>
      </w:pPr>
      <w:r>
        <w:rPr>
          <w:rFonts w:ascii="Arial" w:cs="Arial" w:eastAsia="Arial" w:hAnsi="Arial"/>
          <w:sz w:val="14"/>
          <w:szCs w:val="14"/>
          <w:color w:val="auto"/>
        </w:rPr>
        <w:t>ANB033 is our wholly-owned anti-CD122 antagonist antibody program. CD122 targets the common beta subunit shared by the IL-15 and IL-2 receptors. IL-15 signaling mediates the survival and maintenance of tissue resident memory T cells (T</w:t>
      </w:r>
      <w:r>
        <w:rPr>
          <w:rFonts w:ascii="Arial" w:cs="Arial" w:eastAsia="Arial" w:hAnsi="Arial"/>
          <w:sz w:val="18"/>
          <w:szCs w:val="18"/>
          <w:color w:val="auto"/>
          <w:vertAlign w:val="subscript"/>
        </w:rPr>
        <w:t>RM</w:t>
      </w:r>
      <w:r>
        <w:rPr>
          <w:rFonts w:ascii="Arial" w:cs="Arial" w:eastAsia="Arial" w:hAnsi="Arial"/>
          <w:sz w:val="14"/>
          <w:szCs w:val="14"/>
          <w:color w:val="auto"/>
        </w:rPr>
        <w:t>). The presence of long-lived and persistent T</w:t>
      </w:r>
      <w:r>
        <w:rPr>
          <w:rFonts w:ascii="Arial" w:cs="Arial" w:eastAsia="Arial" w:hAnsi="Arial"/>
          <w:sz w:val="18"/>
          <w:szCs w:val="18"/>
          <w:color w:val="auto"/>
          <w:vertAlign w:val="subscript"/>
        </w:rPr>
        <w:t>RM</w:t>
      </w:r>
      <w:r>
        <w:rPr>
          <w:rFonts w:ascii="Arial" w:cs="Arial" w:eastAsia="Arial" w:hAnsi="Arial"/>
          <w:sz w:val="14"/>
          <w:szCs w:val="14"/>
          <w:color w:val="auto"/>
        </w:rPr>
        <w:t xml:space="preserve"> has been shown to drive tissue-specific immune-mediated inflammation, T</w:t>
      </w:r>
      <w:r>
        <w:rPr>
          <w:rFonts w:ascii="Arial" w:cs="Arial" w:eastAsia="Arial" w:hAnsi="Arial"/>
          <w:sz w:val="18"/>
          <w:szCs w:val="18"/>
          <w:color w:val="auto"/>
          <w:vertAlign w:val="subscript"/>
        </w:rPr>
        <w:t>Rm</w:t>
      </w:r>
      <w:r>
        <w:rPr>
          <w:rFonts w:ascii="Arial" w:cs="Arial" w:eastAsia="Arial" w:hAnsi="Arial"/>
          <w:sz w:val="14"/>
          <w:szCs w:val="14"/>
          <w:color w:val="auto"/>
        </w:rPr>
        <w:t xml:space="preserve"> are present in the skin in dermatologic diseases, where defined borders of inflammation often recur. T</w:t>
      </w:r>
      <w:r>
        <w:rPr>
          <w:rFonts w:ascii="Arial" w:cs="Arial" w:eastAsia="Arial" w:hAnsi="Arial"/>
          <w:sz w:val="18"/>
          <w:szCs w:val="18"/>
          <w:color w:val="auto"/>
          <w:vertAlign w:val="subscript"/>
        </w:rPr>
        <w:t>RM</w:t>
      </w:r>
      <w:r>
        <w:rPr>
          <w:rFonts w:ascii="Arial" w:cs="Arial" w:eastAsia="Arial" w:hAnsi="Arial"/>
          <w:sz w:val="14"/>
          <w:szCs w:val="14"/>
          <w:color w:val="auto"/>
        </w:rPr>
        <w:t xml:space="preserve"> are also observed in other tissue-specific inflammatory disorders including gastroenterology, rheumatology and respiratory. ANB033 is designed with an affinity to CD122 that inhibits IL-15 signaling, leading to death of pathogenic T</w:t>
      </w:r>
      <w:r>
        <w:rPr>
          <w:rFonts w:ascii="Arial" w:cs="Arial" w:eastAsia="Arial" w:hAnsi="Arial"/>
          <w:sz w:val="18"/>
          <w:szCs w:val="18"/>
          <w:color w:val="auto"/>
          <w:vertAlign w:val="subscript"/>
        </w:rPr>
        <w:t>RM</w:t>
      </w:r>
      <w:r>
        <w:rPr>
          <w:rFonts w:ascii="Arial" w:cs="Arial" w:eastAsia="Arial" w:hAnsi="Arial"/>
          <w:sz w:val="14"/>
          <w:szCs w:val="14"/>
          <w:color w:val="auto"/>
        </w:rPr>
        <w:t xml:space="preserve"> cells in diseased tissue, with the potential to achieve and maintain remission of inflammation through the elimination of these disease-causing cells. In addition, ANB033 inhibits IL-2 signaling through the low affinity IL-2 receptor (comprised of CD122 and the common gamma subunit, CD132) expressed on T cells, while sparing regulatory T cells which express the high affinity IL-2 receptor (comprised of CD122, CD132 and the alpha receptor subunit for IL-2, CD25). This drives reduction of pathogenic T cell numbers while sparing or potentially enhancing regulatory T cell numbers. We anticipate submitting an IND for a Phase 1 clinical trial with ANB033 during the first half of 2024.</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We also have additional preclinical programs and discovery research of potentially innovative immunology therapeutics.</w:t>
      </w:r>
    </w:p>
    <w:p>
      <w:pPr>
        <w:spacing w:after="0" w:line="94" w:lineRule="exact"/>
        <w:rPr>
          <w:sz w:val="20"/>
          <w:szCs w:val="20"/>
          <w:color w:val="auto"/>
        </w:rPr>
      </w:pPr>
    </w:p>
    <w:p>
      <w:pPr>
        <w:ind w:right="100" w:firstLine="382"/>
        <w:spacing w:after="0" w:line="281" w:lineRule="auto"/>
        <w:rPr>
          <w:sz w:val="20"/>
          <w:szCs w:val="20"/>
          <w:color w:val="auto"/>
        </w:rPr>
      </w:pPr>
      <w:r>
        <w:rPr>
          <w:rFonts w:ascii="Arial" w:cs="Arial" w:eastAsia="Arial" w:hAnsi="Arial"/>
          <w:sz w:val="14"/>
          <w:szCs w:val="14"/>
          <w:color w:val="auto"/>
        </w:rPr>
        <w:t>In addition to our wholly-owned antibody programs, multiple Company-developed antibody programs have been advanced to preclinical and clinical milestones under our collaborations. Our collaborations include an immuno-oncology-focused collaboration with GlaxoSmithKline, Inc. (GSK).</w:t>
      </w:r>
    </w:p>
    <w:p>
      <w:pPr>
        <w:spacing w:after="0" w:line="47" w:lineRule="exact"/>
        <w:rPr>
          <w:sz w:val="20"/>
          <w:szCs w:val="20"/>
          <w:color w:val="auto"/>
        </w:rPr>
      </w:pPr>
    </w:p>
    <w:p>
      <w:pPr>
        <w:jc w:val="both"/>
        <w:ind w:right="60" w:firstLine="382"/>
        <w:spacing w:after="0" w:line="278" w:lineRule="auto"/>
        <w:rPr>
          <w:sz w:val="20"/>
          <w:szCs w:val="20"/>
          <w:color w:val="auto"/>
        </w:rPr>
      </w:pPr>
      <w:r>
        <w:rPr>
          <w:rFonts w:ascii="Arial" w:cs="Arial" w:eastAsia="Arial" w:hAnsi="Arial"/>
          <w:sz w:val="13"/>
          <w:szCs w:val="13"/>
          <w:color w:val="auto"/>
        </w:rPr>
        <w:t>Under the GSK Agreement, a Biologics License Application (BLA) for our most advanced partnered program, which is an anti-PD-1 antagonist antibody called JEMPERLI (dostarlimab), was approved by the FDA in April 2021 for the treatment of advanced or recurrent deficient mismatch repair endometrial cancer (dMMREC). In addition, in April 2021 the European Medicines Agency (“EMA”) granted conditional marketing authorization in the European Union (“EU”) for JEMPERLI for use in women with mismatch repair deficient (dMMR)/microsatellite instability-high (MSI-</w:t>
      </w:r>
    </w:p>
    <w:p>
      <w:pPr>
        <w:ind w:right="100" w:firstLine="5"/>
        <w:spacing w:after="0" w:line="288" w:lineRule="auto"/>
        <w:tabs>
          <w:tab w:leader="none" w:pos="185"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recurrent or advanced endometrial cancer who have progressed on or following prior treatment with a platinum containing regimen, which approval makes JEMPERLI the first anti-PD-1 therapy available for endometrial cancer in Europe. A second FDA approval was received in August 2021 for JEMPERLI in pan-deficient mismatch repair tumors (PdMMRT). JEMPERLI is currently in clinical development for various solid tumor indications, including first-line advanced/recurrent endometrial cancer, first line ovarian cancer, and non-small cell lung cancer.</w:t>
      </w:r>
    </w:p>
    <w:p>
      <w:pPr>
        <w:spacing w:after="0" w:line="46" w:lineRule="exact"/>
        <w:rPr>
          <w:sz w:val="20"/>
          <w:szCs w:val="20"/>
          <w:color w:val="auto"/>
        </w:rPr>
      </w:pPr>
    </w:p>
    <w:p>
      <w:pPr>
        <w:jc w:val="both"/>
        <w:ind w:right="120" w:firstLine="382"/>
        <w:spacing w:after="0" w:line="297" w:lineRule="auto"/>
        <w:rPr>
          <w:sz w:val="20"/>
          <w:szCs w:val="20"/>
          <w:color w:val="auto"/>
        </w:rPr>
      </w:pPr>
      <w:r>
        <w:rPr>
          <w:rFonts w:ascii="Arial" w:cs="Arial" w:eastAsia="Arial" w:hAnsi="Arial"/>
          <w:sz w:val="13"/>
          <w:szCs w:val="13"/>
          <w:color w:val="auto"/>
        </w:rPr>
        <w:t>In addition, under the collaboration, GSK is developing dostarlimab in combination with two other development programs from the GSK Agreement: cobolimab, an anti-TIM-3 antibody, and GSK40974386, an anti-LAG-3 antibody for multiple solid tumor indications. GSK has initiated the COSTAR Lung Phase 3 trial which is a randomized, open label 3-arm trial comparing cobolimab plus dostarlimab plus docetaxel to dostarlimab plus docetaxel to docetaxel alone in patients with advanced NSCLC who have progressed on prior anti-PD-(L)1 therapy and chemotherapy.</w:t>
      </w:r>
    </w:p>
    <w:p>
      <w:pPr>
        <w:spacing w:after="0" w:line="39" w:lineRule="exact"/>
        <w:rPr>
          <w:sz w:val="20"/>
          <w:szCs w:val="20"/>
          <w:color w:val="auto"/>
        </w:rPr>
      </w:pPr>
    </w:p>
    <w:p>
      <w:pPr>
        <w:ind w:firstLine="382"/>
        <w:spacing w:after="0" w:line="262" w:lineRule="auto"/>
        <w:rPr>
          <w:sz w:val="20"/>
          <w:szCs w:val="20"/>
          <w:color w:val="auto"/>
        </w:rPr>
      </w:pPr>
      <w:r>
        <w:rPr>
          <w:rFonts w:ascii="Arial" w:cs="Arial" w:eastAsia="Arial" w:hAnsi="Arial"/>
          <w:sz w:val="14"/>
          <w:szCs w:val="14"/>
          <w:color w:val="auto"/>
        </w:rPr>
        <w:t>GSK is conducting additional combination trials of dostarlimab, including under separate collaborations, with Zejula, belantamab mafodotin (BCMA ADC), GSK6097608 (anti-CD96), GSK3745417 (STING agonist) and GSK4381562 (anti-PVRIG). Also, under a separate collaboration between GSK and iTeos Therapeutics, dostarlimab is being developed in combination with EOS-448 (anti-TIGIT) and inupadenant (A2A receptor antagonist) in various solid tumor indications, including registration-directed trials combining dostarlimab and EOS-448 for first -line PD-L1 high non-small cell lung cancer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29" w:name="page30"/>
    <w:bookmarkEnd w:id="29"/>
    <w:p>
      <w:pPr>
        <w:ind w:right="420"/>
        <w:spacing w:after="0" w:line="281" w:lineRule="auto"/>
        <w:rPr>
          <w:sz w:val="20"/>
          <w:szCs w:val="20"/>
          <w:color w:val="auto"/>
        </w:rPr>
      </w:pPr>
      <w:r>
        <w:rPr>
          <w:rFonts w:ascii="Arial" w:cs="Arial" w:eastAsia="Arial" w:hAnsi="Arial"/>
          <w:sz w:val="14"/>
          <w:szCs w:val="14"/>
          <w:color w:val="auto"/>
        </w:rPr>
        <w:t>(NSCLC) patients, head and neck squamous cell cancer (HNSCC) and a third undisclosed indication. In June 2021, GSK estimated potential peak annual global JEMPERLI sales on a non-risk adjusted basis of £1-£2 billion for currently approved indications and first-line use in endometrial and ovarian cancer only.</w:t>
      </w:r>
    </w:p>
    <w:p>
      <w:pPr>
        <w:spacing w:after="0" w:line="47" w:lineRule="exact"/>
        <w:rPr>
          <w:sz w:val="20"/>
          <w:szCs w:val="20"/>
          <w:color w:val="auto"/>
        </w:rPr>
      </w:pPr>
    </w:p>
    <w:p>
      <w:pPr>
        <w:ind w:right="100" w:firstLine="382"/>
        <w:spacing w:after="0" w:line="309" w:lineRule="auto"/>
        <w:rPr>
          <w:sz w:val="20"/>
          <w:szCs w:val="20"/>
          <w:color w:val="auto"/>
        </w:rPr>
      </w:pPr>
      <w:r>
        <w:rPr>
          <w:rFonts w:ascii="Arial" w:cs="Arial" w:eastAsia="Arial" w:hAnsi="Arial"/>
          <w:sz w:val="12"/>
          <w:szCs w:val="12"/>
          <w:color w:val="auto"/>
        </w:rPr>
        <w:t>In October 2020, we amended our GSK collaboration to increase royalties on global net sales of JEMPERLI to 8% on annual global net sales below $1.0 billion and 12-25% of annual global net sales above $1.0 billion, add a 1% royalty rate on GSK’s global net sales of Zejula and received a one-time cash payment of $60.0 million. In October 2021, we signed a royalty monetization agreement (“JEMPERLI Royalty Monetization Agreement”) with Sagard Healthcare Royalty Partners (“Sagard”). Pursuant to this transaction, we received a $250.0 million payment upon closing in December 2021, in exchange for JEMPERLI royalties due to us on annual commercial sales below $1.0 billion and certain milestones starting in October 2021. The aggregate JEMPERLI royalties and milestones to be received by Sagard under the JEMPERLI Royalty Monetization Agreement is capped at certain fixed multiples of the upfront payment based upon time. For more information see Note 4 — Collaborative Research and Development Agreements and Note 5 — Sale of Future Royalties in the accompanying notes to the consolidated financial statements.</w:t>
      </w:r>
    </w:p>
    <w:p>
      <w:pPr>
        <w:spacing w:after="0" w:line="37" w:lineRule="exact"/>
        <w:rPr>
          <w:sz w:val="20"/>
          <w:szCs w:val="20"/>
          <w:color w:val="auto"/>
        </w:rPr>
      </w:pPr>
    </w:p>
    <w:p>
      <w:pPr>
        <w:ind w:firstLine="382"/>
        <w:spacing w:after="0" w:line="279" w:lineRule="auto"/>
        <w:rPr>
          <w:sz w:val="20"/>
          <w:szCs w:val="20"/>
          <w:color w:val="auto"/>
        </w:rPr>
      </w:pPr>
      <w:r>
        <w:rPr>
          <w:rFonts w:ascii="Arial" w:cs="Arial" w:eastAsia="Arial" w:hAnsi="Arial"/>
          <w:sz w:val="13"/>
          <w:szCs w:val="13"/>
          <w:color w:val="auto"/>
        </w:rPr>
        <w:t>As referenced above, in connection with our amended GSK collaboration, in October 2020 GSK agreed, under the terms of a settlement agreement (the GSK Settlement Agreement), to pay us a royalty on all GSK net sales of Zejula starting January 1, 2021. Under the GSK Settlement Agreement, the royalty is paid at a rate of 1% but is subject to reduction due to royalties paid to third parties, with a minimum royalty payable under the GSK Settlement Agreement of 0.5% of global net sales of Zejula. The current effective royalty rate is 0.5%. In September 2022, we signed a royalty monetization agreement (the Zejula Royalty Monetization Agreement) with a wholly-owned subsidiary of DRI Healthcare Trust (DRI) to monetize all of our future royalties on global net sales of Zejula under the GSK Settlement Agreement. Under the terms of the Zejula Royalty Monetization Agreement, we received $35.0 million in exchange for all royalties payable by GSK to us under the GSK Settlement Agreement on global net sales of Zejula starting in July 2022. In addition, under the Zejula Royalty Monetization Agreement, we are entitled to receive an additional $10.0 million payment from DRI if Zejula is approved by the FDA for the treatment of endometrial cancer on or prior to December 31, 2025. For more information see Note 5 — Sale of Future Royalties in the accompanying notes to the consolidated financial statements.</w:t>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summarizes certain key information about our wholly-owned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120015</wp:posOffset>
            </wp:positionV>
            <wp:extent cx="4608195" cy="24117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608195" cy="2411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color w:val="auto"/>
        </w:rPr>
        <w:t>Components of Operating Results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Collaboration Revenue</w:t>
      </w:r>
    </w:p>
    <w:p>
      <w:pPr>
        <w:spacing w:after="0" w:line="94" w:lineRule="exact"/>
        <w:rPr>
          <w:sz w:val="20"/>
          <w:szCs w:val="20"/>
          <w:color w:val="auto"/>
        </w:rPr>
      </w:pPr>
    </w:p>
    <w:p>
      <w:pPr>
        <w:ind w:right="20" w:firstLine="382"/>
        <w:spacing w:after="0" w:line="368" w:lineRule="auto"/>
        <w:rPr>
          <w:sz w:val="20"/>
          <w:szCs w:val="20"/>
          <w:color w:val="auto"/>
        </w:rPr>
      </w:pPr>
      <w:r>
        <w:rPr>
          <w:rFonts w:ascii="Arial" w:cs="Arial" w:eastAsia="Arial" w:hAnsi="Arial"/>
          <w:sz w:val="12"/>
          <w:szCs w:val="12"/>
          <w:color w:val="auto"/>
        </w:rPr>
        <w:t>We have not generated any revenue from product sales. Our revenue has been derived from amortization of upfront license payments, research and development funding, milestone and royalty payments under collaboration and license agreements with our collaborators. From inception through September 30, 2022, we have received $229.0 million in funding from our collaborators.</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Research and Development Expense</w:t>
      </w:r>
    </w:p>
    <w:p>
      <w:pPr>
        <w:spacing w:after="0" w:line="94" w:lineRule="exact"/>
        <w:rPr>
          <w:sz w:val="20"/>
          <w:szCs w:val="20"/>
          <w:color w:val="auto"/>
        </w:rPr>
      </w:pPr>
    </w:p>
    <w:p>
      <w:pPr>
        <w:ind w:right="340" w:firstLine="382"/>
        <w:spacing w:after="0" w:line="281" w:lineRule="auto"/>
        <w:rPr>
          <w:sz w:val="20"/>
          <w:szCs w:val="20"/>
          <w:color w:val="auto"/>
        </w:rPr>
      </w:pPr>
      <w:r>
        <w:rPr>
          <w:rFonts w:ascii="Arial" w:cs="Arial" w:eastAsia="Arial" w:hAnsi="Arial"/>
          <w:sz w:val="14"/>
          <w:szCs w:val="14"/>
          <w:color w:val="auto"/>
        </w:rPr>
        <w:t>Research and development expenses consist of costs associated with our research and development activities, including drug discovery efforts, preclinical and clinical development of our programs, and manufacturing. Our research and development expenses include:</w:t>
      </w:r>
    </w:p>
    <w:p>
      <w:pPr>
        <w:spacing w:after="0" w:line="47" w:lineRule="exact"/>
        <w:rPr>
          <w:sz w:val="20"/>
          <w:szCs w:val="20"/>
          <w:color w:val="auto"/>
        </w:rPr>
      </w:pPr>
    </w:p>
    <w:p>
      <w:pPr>
        <w:ind w:left="700" w:right="20" w:hanging="313"/>
        <w:spacing w:after="0" w:line="281" w:lineRule="auto"/>
        <w:tabs>
          <w:tab w:leader="none" w:pos="696"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External research and development expenses incurred under arrangements with third parties, such as contract research organizations (“CROs”), consultants, members of our scientific and therapeutic advisory boards, and contract manufacturing organizations (“CMOs”);</w:t>
      </w:r>
    </w:p>
    <w:p>
      <w:pPr>
        <w:spacing w:after="0" w:line="47" w:lineRule="exact"/>
        <w:rPr>
          <w:rFonts w:ascii="Arial" w:cs="Arial" w:eastAsia="Arial" w:hAnsi="Arial"/>
          <w:sz w:val="14"/>
          <w:szCs w:val="14"/>
          <w:color w:val="auto"/>
        </w:rPr>
      </w:pPr>
    </w:p>
    <w:p>
      <w:pPr>
        <w:ind w:left="700" w:hanging="313"/>
        <w:spacing w:after="0"/>
        <w:tabs>
          <w:tab w:leader="none" w:pos="7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Employee-related expenses, including salaries, benefits, travel, and stock-based compensation;</w:t>
      </w:r>
    </w:p>
    <w:p>
      <w:pPr>
        <w:spacing w:after="0" w:line="93" w:lineRule="exact"/>
        <w:rPr>
          <w:rFonts w:ascii="Arial" w:cs="Arial" w:eastAsia="Arial" w:hAnsi="Arial"/>
          <w:sz w:val="14"/>
          <w:szCs w:val="14"/>
          <w:color w:val="auto"/>
        </w:rPr>
      </w:pPr>
    </w:p>
    <w:p>
      <w:pPr>
        <w:ind w:left="700" w:right="360" w:hanging="313"/>
        <w:spacing w:after="0" w:line="281" w:lineRule="auto"/>
        <w:tabs>
          <w:tab w:leader="none" w:pos="696" w:val="left"/>
        </w:tabs>
        <w:numPr>
          <w:ilvl w:val="0"/>
          <w:numId w:val="14"/>
        </w:numPr>
        <w:rPr>
          <w:rFonts w:ascii="Arial" w:cs="Arial" w:eastAsia="Arial" w:hAnsi="Arial"/>
          <w:sz w:val="14"/>
          <w:szCs w:val="14"/>
          <w:color w:val="auto"/>
        </w:rPr>
      </w:pPr>
      <w:r>
        <w:rPr>
          <w:rFonts w:ascii="Arial" w:cs="Arial" w:eastAsia="Arial" w:hAnsi="Arial"/>
          <w:sz w:val="14"/>
          <w:szCs w:val="14"/>
          <w:color w:val="auto"/>
        </w:rPr>
        <w:t>Facilities, depreciation and other allocated expenses, which include direct and allocated expenses for rent and maintenance of facilities, depreciation of leasehold improvements and equipment, and laboratory supplies; and</w:t>
      </w:r>
    </w:p>
    <w:p>
      <w:pPr>
        <w:spacing w:after="0" w:line="47" w:lineRule="exact"/>
        <w:rPr>
          <w:rFonts w:ascii="Arial" w:cs="Arial" w:eastAsia="Arial" w:hAnsi="Arial"/>
          <w:sz w:val="14"/>
          <w:szCs w:val="14"/>
          <w:color w:val="auto"/>
        </w:rPr>
      </w:pPr>
    </w:p>
    <w:p>
      <w:pPr>
        <w:ind w:left="700" w:hanging="313"/>
        <w:spacing w:after="0"/>
        <w:tabs>
          <w:tab w:leader="none" w:pos="7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License and sub-license fees.</w:t>
      </w:r>
    </w:p>
    <w:p>
      <w:pPr>
        <w:spacing w:after="0" w:line="94" w:lineRule="exact"/>
        <w:rPr>
          <w:sz w:val="20"/>
          <w:szCs w:val="20"/>
          <w:color w:val="auto"/>
        </w:rPr>
      </w:pPr>
    </w:p>
    <w:p>
      <w:pPr>
        <w:ind w:firstLine="382"/>
        <w:spacing w:after="0" w:line="281" w:lineRule="auto"/>
        <w:rPr>
          <w:sz w:val="20"/>
          <w:szCs w:val="20"/>
          <w:color w:val="auto"/>
        </w:rPr>
      </w:pPr>
      <w:r>
        <w:rPr>
          <w:rFonts w:ascii="Arial" w:cs="Arial" w:eastAsia="Arial" w:hAnsi="Arial"/>
          <w:sz w:val="14"/>
          <w:szCs w:val="14"/>
          <w:color w:val="auto"/>
        </w:rPr>
        <w:t>We expense research and development costs as incurred. We account for nonrefundable advance payments for goods and services that will be used in future research and development activities as expense when the service has been performed or when the goods have been received.</w:t>
      </w:r>
    </w:p>
    <w:p>
      <w:pPr>
        <w:spacing w:after="0" w:line="47" w:lineRule="exact"/>
        <w:rPr>
          <w:sz w:val="20"/>
          <w:szCs w:val="20"/>
          <w:color w:val="auto"/>
        </w:rPr>
      </w:pPr>
    </w:p>
    <w:p>
      <w:pPr>
        <w:ind w:right="80" w:firstLine="382"/>
        <w:spacing w:after="0" w:line="262" w:lineRule="auto"/>
        <w:rPr>
          <w:sz w:val="20"/>
          <w:szCs w:val="20"/>
          <w:color w:val="auto"/>
        </w:rPr>
      </w:pPr>
      <w:r>
        <w:rPr>
          <w:rFonts w:ascii="Arial" w:cs="Arial" w:eastAsia="Arial" w:hAnsi="Arial"/>
          <w:sz w:val="14"/>
          <w:szCs w:val="14"/>
          <w:color w:val="auto"/>
        </w:rPr>
        <w:t xml:space="preserve">We are conducting research and development activities primarily on immunology therapeutic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parties, such as CROs and CMOs, for the execution of certain of our research and development activities, such as </w:t>
      </w:r>
      <w:r>
        <w:rPr>
          <w:rFonts w:ascii="Arial" w:cs="Arial" w:eastAsia="Arial" w:hAnsi="Arial"/>
          <w:sz w:val="14"/>
          <w:szCs w:val="14"/>
          <w:i w:val="1"/>
          <w:iCs w:val="1"/>
          <w:color w:val="auto"/>
        </w:rPr>
        <w:t>in vivo</w:t>
      </w:r>
      <w:r>
        <w:rPr>
          <w:rFonts w:ascii="Arial" w:cs="Arial" w:eastAsia="Arial" w:hAnsi="Arial"/>
          <w:sz w:val="14"/>
          <w:szCs w:val="14"/>
          <w:color w:val="auto"/>
        </w:rPr>
        <w:t xml:space="preserve"> toxicology and pharmacology studies, drug product manufacturing, and clinical trials.</w:t>
      </w:r>
    </w:p>
    <w:p>
      <w:pPr>
        <w:spacing w:after="0" w:line="61" w:lineRule="exact"/>
        <w:rPr>
          <w:sz w:val="20"/>
          <w:szCs w:val="20"/>
          <w:color w:val="auto"/>
        </w:rPr>
      </w:pPr>
    </w:p>
    <w:p>
      <w:pPr>
        <w:ind w:right="100" w:firstLine="382"/>
        <w:spacing w:after="0" w:line="267" w:lineRule="auto"/>
        <w:rPr>
          <w:sz w:val="20"/>
          <w:szCs w:val="20"/>
          <w:color w:val="auto"/>
        </w:rPr>
      </w:pPr>
      <w:r>
        <w:rPr>
          <w:rFonts w:ascii="Arial" w:cs="Arial" w:eastAsia="Arial" w:hAnsi="Arial"/>
          <w:sz w:val="14"/>
          <w:szCs w:val="14"/>
          <w:color w:val="auto"/>
        </w:rPr>
        <w:t>We have completed Phase 1 and Phase 2 clinical trials and have ongoing Phase 3 clinical trials for imsidolimab, completed a Phase 1 clinical trial and have an ongoing Phase 2 clinical trial in rosnilimab, and have completed a Phase 1 trial in ANB032. We expect our research and development expenses to be higher for the foreseeable future as we continue to advance our product candidates into larger clinical trials.</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General and Administrative Expense</w:t>
      </w:r>
    </w:p>
    <w:p>
      <w:pPr>
        <w:spacing w:after="0" w:line="94" w:lineRule="exact"/>
        <w:rPr>
          <w:sz w:val="20"/>
          <w:szCs w:val="20"/>
          <w:color w:val="auto"/>
        </w:rPr>
      </w:pPr>
    </w:p>
    <w:p>
      <w:pPr>
        <w:ind w:right="80" w:firstLine="382"/>
        <w:spacing w:after="0" w:line="267" w:lineRule="auto"/>
        <w:rPr>
          <w:sz w:val="20"/>
          <w:szCs w:val="20"/>
          <w:color w:val="auto"/>
        </w:rPr>
      </w:pPr>
      <w:r>
        <w:rPr>
          <w:rFonts w:ascii="Arial" w:cs="Arial" w:eastAsia="Arial" w:hAnsi="Arial"/>
          <w:sz w:val="14"/>
          <w:szCs w:val="14"/>
          <w:color w:val="auto"/>
        </w:rPr>
        <w:t>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and professional fees for auditing, tax, and legal services.</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Non-cash Interest Expense for the Sale of Future Royalties</w:t>
      </w:r>
    </w:p>
    <w:p>
      <w:pPr>
        <w:spacing w:after="0" w:line="94" w:lineRule="exact"/>
        <w:rPr>
          <w:sz w:val="20"/>
          <w:szCs w:val="20"/>
          <w:color w:val="auto"/>
        </w:rPr>
      </w:pPr>
    </w:p>
    <w:p>
      <w:pPr>
        <w:ind w:right="80" w:firstLine="191"/>
        <w:spacing w:after="0" w:line="262" w:lineRule="auto"/>
        <w:rPr>
          <w:sz w:val="20"/>
          <w:szCs w:val="20"/>
          <w:color w:val="auto"/>
        </w:rPr>
      </w:pPr>
      <w:r>
        <w:rPr>
          <w:rFonts w:ascii="Arial" w:cs="Arial" w:eastAsia="Arial" w:hAnsi="Arial"/>
          <w:sz w:val="14"/>
          <w:szCs w:val="14"/>
          <w:color w:val="auto"/>
        </w:rPr>
        <w:t>Non-cash interest expense for the sale of future royalties consists of interest related to the liability for the sale of future royalties, as well as the amortization of debt issuance costs. We impute interest on the unamortized portion of the liability for the sale of future royalties using the effective interest method and record interest expense based on timing of the payments over the terms of the JEMPERLI Royalty Monetization Agreement and Zejula Royalty Monetization Agreement. Our estimate of the interest rate under the arrangements is based on forecasted royalty and milestone payments expected to be made to Sagard and DRI over the life of the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98" w:right="339" w:bottom="1440" w:gutter="0" w:footer="0" w:header="0"/>
        </w:sectPr>
      </w:pPr>
    </w:p>
    <w:bookmarkStart w:id="31" w:name="page32"/>
    <w:bookmarkEnd w:id="31"/>
    <w:p>
      <w:pPr>
        <w:ind w:left="260"/>
        <w:spacing w:after="0"/>
        <w:rPr>
          <w:sz w:val="20"/>
          <w:szCs w:val="20"/>
          <w:color w:val="auto"/>
        </w:rPr>
      </w:pPr>
      <w:r>
        <w:rPr>
          <w:rFonts w:ascii="Arial" w:cs="Arial" w:eastAsia="Arial" w:hAnsi="Arial"/>
          <w:sz w:val="14"/>
          <w:szCs w:val="14"/>
          <w:b w:val="1"/>
          <w:bCs w:val="1"/>
          <w:i w:val="1"/>
          <w:iCs w:val="1"/>
          <w:color w:val="auto"/>
        </w:rPr>
        <w:t>Interest Income</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Interest income consists primarily of interest earned on our short-term and long-term investments and is recognized when earned.</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Use of Estimates</w:t>
      </w:r>
    </w:p>
    <w:p>
      <w:pPr>
        <w:spacing w:after="0" w:line="98" w:lineRule="exact"/>
        <w:rPr>
          <w:sz w:val="20"/>
          <w:szCs w:val="20"/>
          <w:color w:val="auto"/>
        </w:rPr>
      </w:pPr>
    </w:p>
    <w:p>
      <w:pPr>
        <w:ind w:right="60" w:firstLine="382"/>
        <w:spacing w:after="0" w:line="258" w:lineRule="auto"/>
        <w:rPr>
          <w:sz w:val="20"/>
          <w:szCs w:val="20"/>
          <w:color w:val="auto"/>
        </w:rPr>
      </w:pPr>
      <w:r>
        <w:rPr>
          <w:rFonts w:ascii="Arial" w:cs="Arial" w:eastAsia="Arial" w:hAnsi="Arial"/>
          <w:sz w:val="14"/>
          <w:szCs w:val="14"/>
          <w:color w:val="auto"/>
        </w:rPr>
        <w:t>Our management’s discussion and analysis of our financial condition and results of operations are based on our financial statements, which have been prepared in accordance with U.S. generally accepted accounting principles (“U.S.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We believe there have been no significant changes in our critical accounting policies as discussed in our Annual Report on Form 10-K filed with the SEC on March 7, 2022.</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 - Comparison of the Three and Nine Months Ended September 30, 2022 and 2021</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Collaboration Revenue</w:t>
      </w:r>
    </w:p>
    <w:p>
      <w:pPr>
        <w:spacing w:after="0" w:line="94" w:lineRule="exact"/>
        <w:rPr>
          <w:sz w:val="20"/>
          <w:szCs w:val="20"/>
          <w:color w:val="auto"/>
        </w:rPr>
      </w:pPr>
    </w:p>
    <w:p>
      <w:pPr>
        <w:jc w:val="both"/>
        <w:ind w:right="80" w:firstLine="382"/>
        <w:spacing w:after="0" w:line="267" w:lineRule="auto"/>
        <w:rPr>
          <w:sz w:val="20"/>
          <w:szCs w:val="20"/>
          <w:color w:val="auto"/>
        </w:rPr>
      </w:pPr>
      <w:r>
        <w:rPr>
          <w:rFonts w:ascii="Arial" w:cs="Arial" w:eastAsia="Arial" w:hAnsi="Arial"/>
          <w:sz w:val="14"/>
          <w:szCs w:val="14"/>
          <w:color w:val="auto"/>
        </w:rPr>
        <w:t>Collaboration revenue consists of both milestone payments under the collaborations, and royalty payments. We recognized $0 in milestone revenue during the three months ended September 30, 2022 compared to $20.0 million during the three months ended September 30, 2021, related to milestone payments associated with JEMPERLI, the anti-PD-1 antagonist antibody partnered with GSK. For the third quarter of 2021, milestone revenue reflects $20.0 million for first BLA approval in a second indication.</w:t>
      </w:r>
    </w:p>
    <w:p>
      <w:pPr>
        <w:spacing w:after="0" w:line="57" w:lineRule="exact"/>
        <w:rPr>
          <w:sz w:val="20"/>
          <w:szCs w:val="20"/>
          <w:color w:val="auto"/>
        </w:rPr>
      </w:pPr>
    </w:p>
    <w:p>
      <w:pPr>
        <w:ind w:firstLine="382"/>
        <w:spacing w:after="0" w:line="262" w:lineRule="auto"/>
        <w:rPr>
          <w:sz w:val="20"/>
          <w:szCs w:val="20"/>
          <w:color w:val="auto"/>
        </w:rPr>
      </w:pPr>
      <w:r>
        <w:rPr>
          <w:rFonts w:ascii="Arial" w:cs="Arial" w:eastAsia="Arial" w:hAnsi="Arial"/>
          <w:sz w:val="14"/>
          <w:szCs w:val="14"/>
          <w:color w:val="auto"/>
        </w:rPr>
        <w:t>We recognized $0 and $60.0 million of milestone revenue during the nine months ended September 30, 2022 and 2021, respectively, related to milestone payments associated with JEMPERLI, the anti-PD-1 antagonist antibody partnered with GSK. For the nine months ended September 30, 2021, milestone revenue reflects $10.0 million for successful filing of the first BLA in a second indication for JEMPERLI, $20.0 million for first BLA approval in a first indication, $10.0 million for first MAA approval in a first indication, and $20.0 million for first BLA approval in a second indication.</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We expect that any collaboration revenue we generate will continue to fluctuate from period to period as a result of the timing and amount of milestones from our existing collaborations.</w:t>
      </w:r>
    </w:p>
    <w:p>
      <w:pPr>
        <w:spacing w:after="0" w:line="105" w:lineRule="exact"/>
        <w:rPr>
          <w:sz w:val="20"/>
          <w:szCs w:val="20"/>
          <w:color w:val="auto"/>
        </w:rPr>
      </w:pPr>
    </w:p>
    <w:p>
      <w:pPr>
        <w:ind w:left="380"/>
        <w:spacing w:after="0"/>
        <w:rPr>
          <w:sz w:val="20"/>
          <w:szCs w:val="20"/>
          <w:color w:val="auto"/>
        </w:rPr>
      </w:pPr>
      <w:r>
        <w:rPr>
          <w:rFonts w:ascii="Arial" w:cs="Arial" w:eastAsia="Arial" w:hAnsi="Arial"/>
          <w:sz w:val="13"/>
          <w:szCs w:val="13"/>
          <w:color w:val="auto"/>
        </w:rPr>
        <w:t>Royalty revenue is a function of our partners' product sales and the applicable royalty rate. During the three months ended September 30, 2022 and 2021, we recognized $1.3 million and</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$0.9 million, respectively, related to the net sales of GSK’s Zejula and JEMPERLI, which we estimated based on GSK’s historical sales. All royalty revenue related to Zejula global net sales starting</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July 2022 will be paid directly to a wholly-owned subsidiary of DRI Healthcare Trust pursuant to the Zejula Royalty Monetization Agreement. For more information see Note 5 — Sale of Future</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Royalties in the accompanying notes to the consolidated financial statements.</w:t>
      </w:r>
    </w:p>
    <w:p>
      <w:pPr>
        <w:spacing w:after="0" w:line="83" w:lineRule="exact"/>
        <w:rPr>
          <w:sz w:val="20"/>
          <w:szCs w:val="20"/>
          <w:color w:val="auto"/>
        </w:rPr>
      </w:pPr>
    </w:p>
    <w:p>
      <w:pPr>
        <w:ind w:right="520" w:firstLine="382"/>
        <w:spacing w:after="0" w:line="281" w:lineRule="auto"/>
        <w:rPr>
          <w:sz w:val="20"/>
          <w:szCs w:val="20"/>
          <w:color w:val="auto"/>
        </w:rPr>
      </w:pPr>
      <w:r>
        <w:rPr>
          <w:rFonts w:ascii="Arial" w:cs="Arial" w:eastAsia="Arial" w:hAnsi="Arial"/>
          <w:sz w:val="14"/>
          <w:szCs w:val="14"/>
          <w:color w:val="auto"/>
        </w:rPr>
        <w:t>During the nine months ended September 30, 2022 and 2021 we recognized $3.5 million and $2.2 million, respectively, of royalty revenue related to the net sales of GSK’s Zejula and JEMPERLI.</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94"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Research and development expenses were $22.1 million during the three months ended September 30, 2022 compared to $22.2 million during the three months ended September 30, 2021 for a decrease of $0.1 million, primarily due to a $1.3 million increase in outside services for manufacturing expenses, offset by $0.8 million decrease in clinical expenses, $0.4 million decrease in salaries and related expenses, including stock compensation expense, and a $0.2 million decrease in other research and development expenses.</w:t>
      </w:r>
    </w:p>
    <w:p>
      <w:pPr>
        <w:spacing w:after="0" w:line="57" w:lineRule="exact"/>
        <w:rPr>
          <w:sz w:val="20"/>
          <w:szCs w:val="20"/>
          <w:color w:val="auto"/>
        </w:rPr>
      </w:pPr>
    </w:p>
    <w:p>
      <w:pPr>
        <w:ind w:right="60" w:firstLine="382"/>
        <w:spacing w:after="0" w:line="321" w:lineRule="auto"/>
        <w:rPr>
          <w:sz w:val="20"/>
          <w:szCs w:val="20"/>
          <w:color w:val="auto"/>
        </w:rPr>
      </w:pPr>
      <w:r>
        <w:rPr>
          <w:rFonts w:ascii="Arial" w:cs="Arial" w:eastAsia="Arial" w:hAnsi="Arial"/>
          <w:sz w:val="13"/>
          <w:szCs w:val="13"/>
          <w:color w:val="auto"/>
        </w:rPr>
        <w:t>Research and development expenses were $65.4 million during the nine months ended September 30, 2022 compared to $71.7 million during the nine months ended September 30, 2021 for a decrease of $6.3 million, primarily due to a $4.9 million decrease in clinical expenses, $1.8 million decrease in outside services for manufacturing expenses, offset by a $0.3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402" w:right="359" w:bottom="1440" w:gutter="0" w:footer="0" w:header="0"/>
        </w:sectPr>
      </w:pPr>
    </w:p>
    <w:bookmarkStart w:id="32" w:name="page33"/>
    <w:bookmarkEnd w:id="32"/>
    <w:p>
      <w:pPr>
        <w:spacing w:after="0"/>
        <w:rPr>
          <w:sz w:val="20"/>
          <w:szCs w:val="20"/>
          <w:color w:val="auto"/>
        </w:rPr>
      </w:pPr>
      <w:r>
        <w:rPr>
          <w:rFonts w:ascii="Arial" w:cs="Arial" w:eastAsia="Arial" w:hAnsi="Arial"/>
          <w:sz w:val="14"/>
          <w:szCs w:val="14"/>
          <w:color w:val="auto"/>
        </w:rPr>
        <w:t>million increase in salaries and related expenses, including stock compensation expense, and a $0.1 million increase in other research and development expenses.</w:t>
      </w:r>
    </w:p>
    <w:p>
      <w:pPr>
        <w:spacing w:after="0" w:line="94" w:lineRule="exact"/>
        <w:rPr>
          <w:sz w:val="20"/>
          <w:szCs w:val="20"/>
          <w:color w:val="auto"/>
        </w:rPr>
      </w:pPr>
    </w:p>
    <w:p>
      <w:pPr>
        <w:ind w:right="200" w:firstLine="382"/>
        <w:spacing w:after="0" w:line="260" w:lineRule="auto"/>
        <w:rPr>
          <w:sz w:val="20"/>
          <w:szCs w:val="20"/>
          <w:color w:val="auto"/>
        </w:rPr>
      </w:pPr>
      <w:r>
        <w:rPr>
          <w:rFonts w:ascii="Arial" w:cs="Arial" w:eastAsia="Arial" w:hAnsi="Arial"/>
          <w:sz w:val="14"/>
          <w:szCs w:val="14"/>
          <w:color w:val="auto"/>
        </w:rPr>
        <w:t>We do not track fully burdened research and development costs separately for each of our product candidates. We review our research and development expenses by focusing on external development and internal development costs. External development expenses consist of costs associated with our external preclinical and clinical trials, including pharmaceutical development and manufacturing. Included in preclinical and other unallocated costs are external corporate overhead costs that are not specific to any one program. Internal costs consist of salaries and wages, stock-based compensation and benefits, which are not tracked by product candidate as several of our departments support multiple product candidate research and development programs. The following table summarizes the external costs attributable to each program and internal costs: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140" w:type="dxa"/>
            <w:vAlign w:val="bottom"/>
            <w:gridSpan w:val="5"/>
          </w:tcPr>
          <w:p>
            <w:pPr>
              <w:ind w:left="380"/>
              <w:spacing w:after="0"/>
              <w:rPr>
                <w:sz w:val="20"/>
                <w:szCs w:val="20"/>
                <w:color w:val="auto"/>
              </w:rPr>
            </w:pPr>
            <w:r>
              <w:rPr>
                <w:rFonts w:ascii="Arial" w:cs="Arial" w:eastAsia="Arial" w:hAnsi="Arial"/>
                <w:sz w:val="11"/>
                <w:szCs w:val="11"/>
                <w:b w:val="1"/>
                <w:bCs w:val="1"/>
                <w:color w:val="auto"/>
              </w:rPr>
              <w:t>Three Months Ended</w:t>
            </w: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60" w:type="dxa"/>
            <w:vAlign w:val="bottom"/>
            <w:gridSpan w:val="3"/>
          </w:tcPr>
          <w:p>
            <w:pPr>
              <w:jc w:val="right"/>
              <w:spacing w:after="0"/>
              <w:rPr>
                <w:sz w:val="20"/>
                <w:szCs w:val="20"/>
                <w:color w:val="auto"/>
              </w:rPr>
            </w:pPr>
            <w:r>
              <w:rPr>
                <w:rFonts w:ascii="Arial" w:cs="Arial" w:eastAsia="Arial" w:hAnsi="Arial"/>
                <w:sz w:val="11"/>
                <w:szCs w:val="11"/>
                <w:b w:val="1"/>
                <w:bCs w:val="1"/>
                <w:color w:val="auto"/>
              </w:rPr>
              <w:t>Nine Months Ended</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50"/>
        </w:trPr>
        <w:tc>
          <w:tcPr>
            <w:tcW w:w="42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September 30,</w:t>
            </w: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1"/>
                <w:szCs w:val="11"/>
                <w:b w:val="1"/>
                <w:bCs w:val="1"/>
                <w:color w:val="auto"/>
              </w:rPr>
              <w:t>September 30,</w:t>
            </w: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3"/>
        </w:trPr>
        <w:tc>
          <w:tcPr>
            <w:tcW w:w="4200" w:type="dxa"/>
            <w:vAlign w:val="bottom"/>
          </w:tcPr>
          <w:p>
            <w:pPr>
              <w:ind w:left="20"/>
              <w:spacing w:after="0"/>
              <w:rPr>
                <w:sz w:val="20"/>
                <w:szCs w:val="20"/>
                <w:color w:val="auto"/>
              </w:rPr>
            </w:pPr>
            <w:r>
              <w:rPr>
                <w:rFonts w:ascii="Arial" w:cs="Arial" w:eastAsia="Arial" w:hAnsi="Arial"/>
                <w:sz w:val="11"/>
                <w:szCs w:val="11"/>
                <w:b w:val="1"/>
                <w:bCs w:val="1"/>
                <w:color w:val="auto"/>
              </w:rPr>
              <w:t>(in thousands)</w:t>
            </w:r>
          </w:p>
        </w:tc>
        <w:tc>
          <w:tcPr>
            <w:tcW w:w="280" w:type="dxa"/>
            <w:vAlign w:val="bottom"/>
          </w:tcPr>
          <w:p>
            <w:pPr>
              <w:spacing w:after="0"/>
              <w:rPr>
                <w:sz w:val="13"/>
                <w:szCs w:val="13"/>
                <w:color w:val="auto"/>
              </w:rPr>
            </w:pPr>
          </w:p>
        </w:tc>
        <w:tc>
          <w:tcPr>
            <w:tcW w:w="840" w:type="dxa"/>
            <w:vAlign w:val="bottom"/>
          </w:tcPr>
          <w:p>
            <w:pPr>
              <w:jc w:val="right"/>
              <w:ind w:right="373"/>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jc w:val="right"/>
              <w:ind w:right="371"/>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spacing w:after="0"/>
              <w:rPr>
                <w:sz w:val="20"/>
                <w:szCs w:val="20"/>
                <w:color w:val="auto"/>
              </w:rPr>
            </w:pPr>
            <w:r>
              <w:rPr>
                <w:rFonts w:ascii="Arial" w:cs="Arial" w:eastAsia="Arial" w:hAnsi="Arial"/>
                <w:sz w:val="11"/>
                <w:szCs w:val="11"/>
                <w:b w:val="1"/>
                <w:bCs w:val="1"/>
                <w:color w:val="auto"/>
              </w:rPr>
              <w:t>Increase/(Decrease)</w:t>
            </w:r>
          </w:p>
        </w:tc>
        <w:tc>
          <w:tcPr>
            <w:tcW w:w="260" w:type="dxa"/>
            <w:vAlign w:val="bottom"/>
          </w:tcPr>
          <w:p>
            <w:pPr>
              <w:spacing w:after="0"/>
              <w:rPr>
                <w:sz w:val="13"/>
                <w:szCs w:val="13"/>
                <w:color w:val="auto"/>
              </w:rPr>
            </w:pPr>
          </w:p>
        </w:tc>
        <w:tc>
          <w:tcPr>
            <w:tcW w:w="840" w:type="dxa"/>
            <w:vAlign w:val="bottom"/>
          </w:tcPr>
          <w:p>
            <w:pPr>
              <w:jc w:val="right"/>
              <w:ind w:right="373"/>
              <w:spacing w:after="0"/>
              <w:rPr>
                <w:sz w:val="20"/>
                <w:szCs w:val="20"/>
                <w:color w:val="auto"/>
              </w:rPr>
            </w:pPr>
            <w:r>
              <w:rPr>
                <w:rFonts w:ascii="Arial" w:cs="Arial" w:eastAsia="Arial" w:hAnsi="Arial"/>
                <w:sz w:val="11"/>
                <w:szCs w:val="11"/>
                <w:b w:val="1"/>
                <w:bCs w:val="1"/>
                <w:color w:val="auto"/>
              </w:rPr>
              <w:t>2022</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jc w:val="right"/>
              <w:ind w:right="351"/>
              <w:spacing w:after="0"/>
              <w:rPr>
                <w:sz w:val="20"/>
                <w:szCs w:val="20"/>
                <w:color w:val="auto"/>
              </w:rPr>
            </w:pPr>
            <w:r>
              <w:rPr>
                <w:rFonts w:ascii="Arial" w:cs="Arial" w:eastAsia="Arial" w:hAnsi="Arial"/>
                <w:sz w:val="11"/>
                <w:szCs w:val="11"/>
                <w:b w:val="1"/>
                <w:bCs w:val="1"/>
                <w:color w:val="auto"/>
                <w:w w:val="89"/>
              </w:rPr>
              <w:t>2021</w:t>
            </w:r>
          </w:p>
        </w:tc>
        <w:tc>
          <w:tcPr>
            <w:tcW w:w="100" w:type="dxa"/>
            <w:vAlign w:val="bottom"/>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Arial" w:cs="Arial" w:eastAsia="Arial" w:hAnsi="Arial"/>
                <w:sz w:val="11"/>
                <w:szCs w:val="11"/>
                <w:b w:val="1"/>
                <w:bCs w:val="1"/>
                <w:color w:val="auto"/>
                <w:w w:val="94"/>
              </w:rPr>
              <w:t>Increase/(Decrease)</w:t>
            </w:r>
          </w:p>
        </w:tc>
      </w:tr>
      <w:tr>
        <w:trPr>
          <w:trHeight w:val="167"/>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External Costs</w:t>
            </w:r>
          </w:p>
        </w:tc>
        <w:tc>
          <w:tcPr>
            <w:tcW w:w="2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r>
      <w:tr>
        <w:trPr>
          <w:trHeight w:val="180"/>
        </w:trPr>
        <w:tc>
          <w:tcPr>
            <w:tcW w:w="4200" w:type="dxa"/>
            <w:vAlign w:val="bottom"/>
          </w:tcPr>
          <w:p>
            <w:pPr>
              <w:ind w:left="120"/>
              <w:spacing w:after="0"/>
              <w:rPr>
                <w:sz w:val="20"/>
                <w:szCs w:val="20"/>
                <w:color w:val="auto"/>
              </w:rPr>
            </w:pPr>
            <w:r>
              <w:rPr>
                <w:rFonts w:ascii="Arial" w:cs="Arial" w:eastAsia="Arial" w:hAnsi="Arial"/>
                <w:sz w:val="14"/>
                <w:szCs w:val="14"/>
                <w:color w:val="auto"/>
              </w:rPr>
              <w:t>Imsidolimab</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9,946</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9,333</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613</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30,485</w:t>
            </w:r>
          </w:p>
        </w:tc>
        <w:tc>
          <w:tcPr>
            <w:tcW w:w="10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33,803</w:t>
            </w:r>
          </w:p>
        </w:tc>
        <w:tc>
          <w:tcPr>
            <w:tcW w:w="100" w:type="dxa"/>
            <w:vAlign w:val="bottom"/>
          </w:tcPr>
          <w:p>
            <w:pPr>
              <w:spacing w:after="0"/>
              <w:rPr>
                <w:sz w:val="15"/>
                <w:szCs w:val="15"/>
                <w:color w:val="auto"/>
              </w:rPr>
            </w:pPr>
          </w:p>
        </w:tc>
        <w:tc>
          <w:tcPr>
            <w:tcW w:w="360" w:type="dxa"/>
            <w:vAlign w:val="bottom"/>
          </w:tcPr>
          <w:p>
            <w:pPr>
              <w:jc w:val="right"/>
              <w:ind w:right="214"/>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(3,318)</w:t>
            </w:r>
          </w:p>
        </w:tc>
      </w:tr>
      <w:tr>
        <w:trPr>
          <w:trHeight w:val="181"/>
        </w:trPr>
        <w:tc>
          <w:tcPr>
            <w:tcW w:w="4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Rosnilimab</w:t>
            </w: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5,425</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w:t>
            </w:r>
          </w:p>
        </w:tc>
      </w:tr>
      <w:tr>
        <w:trPr>
          <w:trHeight w:val="180"/>
        </w:trPr>
        <w:tc>
          <w:tcPr>
            <w:tcW w:w="4200" w:type="dxa"/>
            <w:vAlign w:val="bottom"/>
          </w:tcPr>
          <w:p>
            <w:pPr>
              <w:ind w:left="120"/>
              <w:spacing w:after="0"/>
              <w:rPr>
                <w:sz w:val="20"/>
                <w:szCs w:val="20"/>
                <w:color w:val="auto"/>
              </w:rPr>
            </w:pPr>
            <w:r>
              <w:rPr>
                <w:rFonts w:ascii="Arial" w:cs="Arial" w:eastAsia="Arial" w:hAnsi="Arial"/>
                <w:sz w:val="14"/>
                <w:szCs w:val="14"/>
                <w:color w:val="auto"/>
              </w:rPr>
              <w:t>ANB032</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1,083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2,249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(1,166)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2,223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4,927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(2,704)</w:t>
            </w:r>
          </w:p>
        </w:tc>
      </w:tr>
      <w:tr>
        <w:trPr>
          <w:trHeight w:val="181"/>
        </w:trPr>
        <w:tc>
          <w:tcPr>
            <w:tcW w:w="4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Etokimab</w:t>
            </w: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w:t>
            </w:r>
          </w:p>
        </w:tc>
      </w:tr>
      <w:tr>
        <w:trPr>
          <w:trHeight w:val="180"/>
        </w:trPr>
        <w:tc>
          <w:tcPr>
            <w:tcW w:w="42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Preclinical and other unallocated costs</w:t>
            </w: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2,503</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3,158</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(655)</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7,351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9,538</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(2,187)</w:t>
            </w:r>
          </w:p>
        </w:tc>
      </w:tr>
      <w:tr>
        <w:trPr>
          <w:trHeight w:val="171"/>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External Costs</w:t>
            </w: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15,615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16,244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45,816</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54,053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(8,237)</w:t>
            </w:r>
          </w:p>
        </w:tc>
      </w:tr>
      <w:tr>
        <w:trPr>
          <w:trHeight w:val="180"/>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Internal Costs</w:t>
            </w: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6,449</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5,977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19,608</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17,667</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1,941</w:t>
            </w:r>
          </w:p>
        </w:tc>
      </w:tr>
      <w:tr>
        <w:trPr>
          <w:trHeight w:val="196"/>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Costs</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22,064</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22,221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65,424</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71,720</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(6,296)</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General and Administrative Expenses</w:t>
      </w:r>
    </w:p>
    <w:p>
      <w:pPr>
        <w:spacing w:after="0" w:line="94" w:lineRule="exact"/>
        <w:rPr>
          <w:sz w:val="20"/>
          <w:szCs w:val="20"/>
          <w:color w:val="auto"/>
        </w:rPr>
      </w:pPr>
    </w:p>
    <w:p>
      <w:pPr>
        <w:ind w:right="100" w:firstLine="382"/>
        <w:spacing w:after="0" w:line="368" w:lineRule="auto"/>
        <w:rPr>
          <w:sz w:val="20"/>
          <w:szCs w:val="20"/>
          <w:color w:val="auto"/>
        </w:rPr>
      </w:pPr>
      <w:r>
        <w:rPr>
          <w:rFonts w:ascii="Arial" w:cs="Arial" w:eastAsia="Arial" w:hAnsi="Arial"/>
          <w:sz w:val="12"/>
          <w:szCs w:val="12"/>
          <w:color w:val="auto"/>
        </w:rPr>
        <w:t>General and administrative expenses were $8.9 million during the three months ended September 30, 2022 compared to $5.4 million during the three months ended September 30, 2021 for an increase of $3.5 million, primarily due to a $2.6 million increase in personnel costs including stock compensation expense, and a $0.9 million increase in other general and administrative expenses.</w:t>
      </w:r>
    </w:p>
    <w:p>
      <w:pPr>
        <w:spacing w:after="0" w:line="1" w:lineRule="exact"/>
        <w:rPr>
          <w:sz w:val="20"/>
          <w:szCs w:val="20"/>
          <w:color w:val="auto"/>
        </w:rPr>
      </w:pPr>
    </w:p>
    <w:p>
      <w:pPr>
        <w:jc w:val="both"/>
        <w:ind w:right="40" w:firstLine="382"/>
        <w:spacing w:after="0" w:line="297" w:lineRule="auto"/>
        <w:rPr>
          <w:sz w:val="20"/>
          <w:szCs w:val="20"/>
          <w:color w:val="auto"/>
        </w:rPr>
      </w:pPr>
      <w:r>
        <w:rPr>
          <w:rFonts w:ascii="Arial" w:cs="Arial" w:eastAsia="Arial" w:hAnsi="Arial"/>
          <w:sz w:val="13"/>
          <w:szCs w:val="13"/>
          <w:color w:val="auto"/>
        </w:rPr>
        <w:t>General and administrative expenses were $27.2 million during the nine months ended September 30, 2022 compared to $16.1 million during the nine months ended September 30, 2021 for an increase of $11.1 million, primarily due to a $10.2 million increase in personnel costs including stock compensation expense, which included $0.6 million in severance costs and $3.2 million in stock compensation expense due to the resignation of our former President and CEO, and a $0.9 million increase in other general and administrative expenses.</w:t>
      </w:r>
    </w:p>
    <w:p>
      <w:pPr>
        <w:spacing w:after="0" w:line="39" w:lineRule="exact"/>
        <w:rPr>
          <w:sz w:val="20"/>
          <w:szCs w:val="20"/>
          <w:color w:val="auto"/>
        </w:rPr>
      </w:pPr>
    </w:p>
    <w:p>
      <w:pPr>
        <w:jc w:val="both"/>
        <w:ind w:right="140" w:firstLine="382"/>
        <w:spacing w:after="0" w:line="297" w:lineRule="auto"/>
        <w:rPr>
          <w:sz w:val="20"/>
          <w:szCs w:val="20"/>
          <w:color w:val="auto"/>
        </w:rPr>
      </w:pPr>
      <w:r>
        <w:rPr>
          <w:rFonts w:ascii="Arial" w:cs="Arial" w:eastAsia="Arial" w:hAnsi="Arial"/>
          <w:sz w:val="13"/>
          <w:szCs w:val="13"/>
          <w:color w:val="auto"/>
        </w:rPr>
        <w:t>We expect that our general and administrative expenses will increase for the foreseeable future as we incur additional costs associated with being a publicly traded company, including legal, auditing and filing fees, additional insurance premiums, investor relations expenses and general compliance and consulting expenses. We also expect our intellectual property related legal expenses, including those related to preparing, filing, prosecuting and maintaining patent applications, to increase as our intellectual property portfolio expands.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Non-cash Interest Expense for the Sale of Future Royalties</w:t>
      </w:r>
    </w:p>
    <w:p>
      <w:pPr>
        <w:spacing w:after="0" w:line="94" w:lineRule="exact"/>
        <w:rPr>
          <w:sz w:val="20"/>
          <w:szCs w:val="20"/>
          <w:color w:val="auto"/>
        </w:rPr>
      </w:pPr>
    </w:p>
    <w:p>
      <w:pPr>
        <w:ind w:right="100" w:firstLine="191"/>
        <w:spacing w:after="0" w:line="368" w:lineRule="auto"/>
        <w:rPr>
          <w:sz w:val="20"/>
          <w:szCs w:val="20"/>
          <w:color w:val="auto"/>
        </w:rPr>
      </w:pPr>
      <w:r>
        <w:rPr>
          <w:rFonts w:ascii="Arial" w:cs="Arial" w:eastAsia="Arial" w:hAnsi="Arial"/>
          <w:sz w:val="12"/>
          <w:szCs w:val="12"/>
          <w:color w:val="auto"/>
        </w:rPr>
        <w:t>Non-cash interest expense was $6.1 million and $16.9 million during the three and nine months ended September 30, 2022 compared to $0 during the three and nine months ended September 30, 2021. The increase in non-cash interest expense is due to interest recognized on the liabilities related to the sale of future royalties that were completed in September 2022 and December 2021.</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Interest Income</w:t>
      </w:r>
    </w:p>
    <w:p>
      <w:pPr>
        <w:spacing w:after="0" w:line="94" w:lineRule="exact"/>
        <w:rPr>
          <w:sz w:val="20"/>
          <w:szCs w:val="20"/>
          <w:color w:val="auto"/>
        </w:rPr>
      </w:pPr>
    </w:p>
    <w:p>
      <w:pPr>
        <w:ind w:right="160" w:firstLine="382"/>
        <w:spacing w:after="0" w:line="281" w:lineRule="auto"/>
        <w:rPr>
          <w:sz w:val="20"/>
          <w:szCs w:val="20"/>
          <w:color w:val="auto"/>
        </w:rPr>
      </w:pPr>
      <w:r>
        <w:rPr>
          <w:rFonts w:ascii="Arial" w:cs="Arial" w:eastAsia="Arial" w:hAnsi="Arial"/>
          <w:sz w:val="14"/>
          <w:szCs w:val="14"/>
          <w:color w:val="auto"/>
        </w:rPr>
        <w:t>Interest income was $2.3 million and $0.1 million during the three months ended September 30, 2022 and 2021, respectively, and $3.7 million and $0.4 million during the nine months ended September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33" w:name="page34"/>
    <w:bookmarkEnd w:id="33"/>
    <w:p>
      <w:pPr>
        <w:ind w:right="380"/>
        <w:spacing w:after="0" w:line="281" w:lineRule="auto"/>
        <w:rPr>
          <w:sz w:val="20"/>
          <w:szCs w:val="20"/>
          <w:color w:val="auto"/>
        </w:rPr>
      </w:pPr>
      <w:r>
        <w:rPr>
          <w:rFonts w:ascii="Arial" w:cs="Arial" w:eastAsia="Arial" w:hAnsi="Arial"/>
          <w:sz w:val="14"/>
          <w:szCs w:val="14"/>
          <w:color w:val="auto"/>
        </w:rPr>
        <w:t>which primarily related to our short-term and long-term investments. The increase in interest income is due to higher interest rates earned on investments and due to an increase in the available balance to invest as a result of the proceeds from the sale of future royalties completed in December 2021.</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Other Income, Net</w:t>
      </w:r>
    </w:p>
    <w:p>
      <w:pPr>
        <w:spacing w:after="0" w:line="94" w:lineRule="exact"/>
        <w:rPr>
          <w:sz w:val="20"/>
          <w:szCs w:val="20"/>
          <w:color w:val="auto"/>
        </w:rPr>
      </w:pPr>
    </w:p>
    <w:p>
      <w:pPr>
        <w:ind w:right="280" w:firstLine="382"/>
        <w:spacing w:after="0" w:line="281" w:lineRule="auto"/>
        <w:rPr>
          <w:sz w:val="20"/>
          <w:szCs w:val="20"/>
          <w:color w:val="auto"/>
        </w:rPr>
      </w:pPr>
      <w:r>
        <w:rPr>
          <w:rFonts w:ascii="Arial" w:cs="Arial" w:eastAsia="Arial" w:hAnsi="Arial"/>
          <w:sz w:val="14"/>
          <w:szCs w:val="14"/>
          <w:color w:val="auto"/>
        </w:rPr>
        <w:t>Other income, net was less than $0.1 million for both the three and nine months ended September 30, 2022 and 2021, which primarily related to foreign exchange transactions through our Australian subsidiary and with our foreign CROs and CMOs.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98" w:lineRule="exact"/>
        <w:rPr>
          <w:sz w:val="20"/>
          <w:szCs w:val="20"/>
          <w:color w:val="auto"/>
        </w:rPr>
      </w:pPr>
    </w:p>
    <w:p>
      <w:pPr>
        <w:ind w:right="20" w:firstLine="382"/>
        <w:spacing w:after="0" w:line="321" w:lineRule="auto"/>
        <w:rPr>
          <w:sz w:val="20"/>
          <w:szCs w:val="20"/>
          <w:color w:val="auto"/>
        </w:rPr>
      </w:pPr>
      <w:r>
        <w:rPr>
          <w:rFonts w:ascii="Arial" w:cs="Arial" w:eastAsia="Arial" w:hAnsi="Arial"/>
          <w:sz w:val="13"/>
          <w:szCs w:val="13"/>
          <w:color w:val="auto"/>
        </w:rPr>
        <w:t>From our inception through September 30, 2022, we have received an aggregate of $1.2 billion to fund our operations, which included $631.2 million from the sale of equity securities, $285.0 million from the sale of future royalties, and $229.0 million from our collaboration agreements. As of September 30, 2022, we had $590.5 million in cash, cash equivalents and investments.</w:t>
      </w:r>
    </w:p>
    <w:p>
      <w:pPr>
        <w:spacing w:after="0" w:line="24" w:lineRule="exact"/>
        <w:rPr>
          <w:sz w:val="20"/>
          <w:szCs w:val="20"/>
          <w:color w:val="auto"/>
        </w:rPr>
      </w:pPr>
    </w:p>
    <w:p>
      <w:pPr>
        <w:ind w:right="60" w:firstLine="382"/>
        <w:spacing w:after="0" w:line="262" w:lineRule="auto"/>
        <w:rPr>
          <w:sz w:val="20"/>
          <w:szCs w:val="20"/>
          <w:color w:val="auto"/>
        </w:rPr>
      </w:pPr>
      <w:r>
        <w:rPr>
          <w:rFonts w:ascii="Arial" w:cs="Arial" w:eastAsia="Arial" w:hAnsi="Arial"/>
          <w:sz w:val="14"/>
          <w:szCs w:val="14"/>
          <w:color w:val="auto"/>
        </w:rPr>
        <w:t>In addition to our existing cash, cash equivalents and investments, we are eligible to earn milestone and other contingent payments for the achievement of defined collaboration objectives and certain nonclinical, clinical, regulatory and sales-based events, and royalty payments under our collaboration agreements, including the GSK Agreement and the GSK Settlement Agreement. Our ability to earn these milestone and contingent payments and the timing of achieving these milestones is primarily dependent upon the outcome of our collaborators’ research and development activities. Our rights to payments under our collaboration agreements are our only committed external source of funds.</w:t>
      </w:r>
    </w:p>
    <w:p>
      <w:pPr>
        <w:spacing w:after="0" w:line="61" w:lineRule="exact"/>
        <w:rPr>
          <w:sz w:val="20"/>
          <w:szCs w:val="20"/>
          <w:color w:val="auto"/>
        </w:rPr>
      </w:pPr>
    </w:p>
    <w:p>
      <w:pPr>
        <w:ind w:right="20" w:firstLine="382"/>
        <w:spacing w:after="0" w:line="278" w:lineRule="auto"/>
        <w:rPr>
          <w:sz w:val="20"/>
          <w:szCs w:val="20"/>
          <w:color w:val="auto"/>
        </w:rPr>
      </w:pPr>
      <w:r>
        <w:rPr>
          <w:rFonts w:ascii="Arial" w:cs="Arial" w:eastAsia="Arial" w:hAnsi="Arial"/>
          <w:sz w:val="13"/>
          <w:szCs w:val="13"/>
          <w:color w:val="auto"/>
        </w:rPr>
        <w:t>In October 2021, we signed the JEMPERLI Royalty Monetization Agreement with Sagard. Pursuant to this transaction we received a $250.0 million payment upon closing in December 2021, in exchange for JEMPERLI royalties due to us on annual commercial sales below $1.0 billion and certain future milestones starting in October 2021. We treated the sale of future revenue from the JEMPERLI Royalty Monetization Agreement with Sagard as debt, which will be amortized under the effective interest rate method over the estimated life of the related expected royalty stream. We recorded the upfront proceeds of $250.0 million, net of $0.4 million of transaction costs, as a liability related to the sale of future revenue. The liability and the related interest expense are based on our current estimates of future royalties and certain milestones expected to be paid over the life of the agreement. We will periodically assess the expected royalty and milestone payments and to the extent our future estimates or timing of such payments are materially different than our previous estimates, we will prospectively recognize related interest expense. Royalty revenue will be recognized as earned on net sales of JEMPERLI, and we will record the royalty payments to Sagard as a reduction of the liability when paid. As such payments are made to Sagard, the balance of the liability will be effectively repaid over the life of the JEMPERLI Royalty Monetization Agreement. For further discussion of the sale of future revenue, refer to Note 5 — Sale of Future Royalties in the accompanying notes to the consolidated financial statements.</w:t>
      </w:r>
    </w:p>
    <w:p>
      <w:pPr>
        <w:spacing w:after="0" w:line="54" w:lineRule="exact"/>
        <w:rPr>
          <w:sz w:val="20"/>
          <w:szCs w:val="20"/>
          <w:color w:val="auto"/>
        </w:rPr>
      </w:pPr>
    </w:p>
    <w:p>
      <w:pPr>
        <w:ind w:right="20" w:firstLine="382"/>
        <w:spacing w:after="0" w:line="279" w:lineRule="auto"/>
        <w:rPr>
          <w:sz w:val="20"/>
          <w:szCs w:val="20"/>
          <w:color w:val="auto"/>
        </w:rPr>
      </w:pPr>
      <w:r>
        <w:rPr>
          <w:rFonts w:ascii="Arial" w:cs="Arial" w:eastAsia="Arial" w:hAnsi="Arial"/>
          <w:sz w:val="13"/>
          <w:szCs w:val="13"/>
          <w:color w:val="auto"/>
        </w:rPr>
        <w:t>In September 2022, we signed the Zejula Royalty Monetization Agreement with DRI. Pursuant to this transaction we received a $35.0 million payment in exchange for all royalties payable by GSK to us under the GSK Settlement Agreement on global net sales of Zejula starting in July 2022. We treated the sale of future revenue from the Zejula Royalty Monetization Agreement with DRI as debt, which will be amortized under the effective interest rate method over the estimated life of the related expected royalty stream. We recorded the upfront proceeds of $35.0 million, net of $0.2 million of transaction costs, as a liability related to the sale of future revenue. The liability and the related interest expense are based on our current estimates of future royalties expected to be paid over the life of the agreement. We will periodically assess the expected royalty and milestone payments and to the extent our future estimates or timing of such payments are materially different than our previous estimates, we will prospectively recognize related interest expense. Royalty revenue will be recognized as earned on net sales of Zejula, and we will record the royalty payments to DRI as a reduction of the liability when paid. As such payments are made to DRI, the balance of the liability will be effectively repaid over the life of the Zejula Royalty Monetization Agreement. For further discussion of the sale of future revenue, refer to Note 5 — Sale of Future Royalties in the accompanying notes to the consolidated financial statements.</w:t>
      </w:r>
    </w:p>
    <w:p>
      <w:pPr>
        <w:spacing w:after="0" w:line="53" w:lineRule="exact"/>
        <w:rPr>
          <w:sz w:val="20"/>
          <w:szCs w:val="20"/>
          <w:color w:val="auto"/>
        </w:rPr>
      </w:pPr>
    </w:p>
    <w:p>
      <w:pPr>
        <w:ind w:firstLine="382"/>
        <w:spacing w:after="0" w:line="281" w:lineRule="auto"/>
        <w:rPr>
          <w:sz w:val="20"/>
          <w:szCs w:val="20"/>
          <w:color w:val="auto"/>
        </w:rPr>
      </w:pPr>
      <w:r>
        <w:rPr>
          <w:rFonts w:ascii="Arial" w:cs="Arial" w:eastAsia="Arial" w:hAnsi="Arial"/>
          <w:sz w:val="14"/>
          <w:szCs w:val="14"/>
          <w:color w:val="auto"/>
        </w:rPr>
        <w:t>In December 2021, we entered into an Open Market Sales Agreement with Jefferies LLC, through which we may offer and sell shares of our common stock, having an aggregate offering of up to $150.0 million through Jefferies LLC as our sales agent. This agreement was terminated effective November 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17" w:right="359" w:bottom="1440" w:gutter="0" w:footer="0" w:header="0"/>
        </w:sectPr>
      </w:pPr>
    </w:p>
    <w:bookmarkStart w:id="34" w:name="page35"/>
    <w:bookmarkEnd w:id="34"/>
    <w:p>
      <w:pPr>
        <w:ind w:right="380" w:firstLine="382"/>
        <w:spacing w:after="0" w:line="281" w:lineRule="auto"/>
        <w:rPr>
          <w:sz w:val="20"/>
          <w:szCs w:val="20"/>
          <w:color w:val="auto"/>
        </w:rPr>
      </w:pPr>
      <w:r>
        <w:rPr>
          <w:rFonts w:ascii="Arial" w:cs="Arial" w:eastAsia="Arial" w:hAnsi="Arial"/>
          <w:sz w:val="14"/>
          <w:szCs w:val="14"/>
          <w:color w:val="auto"/>
        </w:rPr>
        <w:t>In November 2022, we entered into the Cowen Sales Agreement with Cowen and Company, LLC, through which we may offer and sell shares of our common stock, having an aggregate offering of up to $150.0 million through Cowen and Company, LLC as our sales agent.</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Funding Requirements</w:t>
      </w:r>
    </w:p>
    <w:p>
      <w:pPr>
        <w:spacing w:after="0" w:line="98" w:lineRule="exact"/>
        <w:rPr>
          <w:sz w:val="20"/>
          <w:szCs w:val="20"/>
          <w:color w:val="auto"/>
        </w:rPr>
      </w:pPr>
    </w:p>
    <w:p>
      <w:pPr>
        <w:ind w:right="80" w:firstLine="382"/>
        <w:spacing w:after="0" w:line="281" w:lineRule="auto"/>
        <w:rPr>
          <w:sz w:val="20"/>
          <w:szCs w:val="20"/>
          <w:color w:val="auto"/>
        </w:rPr>
      </w:pPr>
      <w:r>
        <w:rPr>
          <w:rFonts w:ascii="Arial" w:cs="Arial" w:eastAsia="Arial" w:hAnsi="Arial"/>
          <w:sz w:val="14"/>
          <w:szCs w:val="14"/>
          <w:color w:val="auto"/>
        </w:rPr>
        <w:t>We may seek to obtain additional financing in the future through equity or debt financings or through collaborations or partnerships with other companies. If we are unable to obtain additional financing on commercially reasonable terms, our business, financial condition and results of operations will be materially adversely affected.</w:t>
      </w:r>
    </w:p>
    <w:p>
      <w:pPr>
        <w:spacing w:after="0" w:line="47" w:lineRule="exact"/>
        <w:rPr>
          <w:sz w:val="20"/>
          <w:szCs w:val="20"/>
          <w:color w:val="auto"/>
        </w:rPr>
      </w:pPr>
    </w:p>
    <w:p>
      <w:pPr>
        <w:ind w:right="160" w:firstLine="382"/>
        <w:spacing w:after="0" w:line="262" w:lineRule="auto"/>
        <w:rPr>
          <w:sz w:val="20"/>
          <w:szCs w:val="20"/>
          <w:color w:val="auto"/>
        </w:rPr>
      </w:pPr>
      <w:r>
        <w:rPr>
          <w:rFonts w:ascii="Arial" w:cs="Arial" w:eastAsia="Arial" w:hAnsi="Arial"/>
          <w:sz w:val="14"/>
          <w:szCs w:val="14"/>
          <w:color w:val="auto"/>
        </w:rPr>
        <w:t>Our primary uses of capital are, and we expect will continue to be, third-party clinical and preclinical research and development services, including manufacturing, laboratory and related supplies, compensation and related expenses, legal, patent and other regulatory expenses, and general overhead costs. We have entered into agreements with certain vendors for the provision of services, including services related to commercial manufacturing, that we are unable to terminate for convenience. Under such agreements, we are contractually obligated to make certain minimum payments to the vendors with the amounts to be based on the timing of the termination and the specific terms of the agreement.</w:t>
      </w:r>
    </w:p>
    <w:p>
      <w:pPr>
        <w:spacing w:after="0" w:line="61" w:lineRule="exact"/>
        <w:rPr>
          <w:sz w:val="20"/>
          <w:szCs w:val="20"/>
          <w:color w:val="auto"/>
        </w:rPr>
      </w:pPr>
    </w:p>
    <w:p>
      <w:pPr>
        <w:ind w:right="40" w:firstLine="382"/>
        <w:spacing w:after="0" w:line="262" w:lineRule="auto"/>
        <w:rPr>
          <w:sz w:val="20"/>
          <w:szCs w:val="20"/>
          <w:color w:val="auto"/>
        </w:rPr>
      </w:pPr>
      <w:r>
        <w:rPr>
          <w:rFonts w:ascii="Arial" w:cs="Arial" w:eastAsia="Arial" w:hAnsi="Arial"/>
          <w:sz w:val="14"/>
          <w:szCs w:val="14"/>
          <w:color w:val="auto"/>
        </w:rPr>
        <w:t>Cash, cash equivalents and investments totaled $590.5 million as of September 30, 2022, compared to $615.2 million as of December 31, 2021. We believe that our existing cash, cash equivalents and investments will fund our current operating plan for at least the next twelve months from the issuance of our consolidated financial statements. We have based this estimate on assumptions that may prove to be wrong, and we could use our capital resources sooner than we expect. Additionally, the process of testing product candidates in clinical trials and seeking regulatory approval is costly, and the timing of progress and expenses in these trials is uncertain.</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4"/>
          <w:szCs w:val="14"/>
          <w:b w:val="1"/>
          <w:bCs w:val="1"/>
          <w:i w:val="1"/>
          <w:iCs w:val="1"/>
          <w:color w:val="auto"/>
        </w:rPr>
        <w:t>Cash Flows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summarizes our cash flows for the nine months ended September 30, 2022 and 2021:</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60" w:type="dxa"/>
            <w:vAlign w:val="bottom"/>
            <w:gridSpan w:val="3"/>
          </w:tcPr>
          <w:p>
            <w:pPr>
              <w:jc w:val="right"/>
              <w:ind w:right="49"/>
              <w:spacing w:after="0"/>
              <w:rPr>
                <w:sz w:val="20"/>
                <w:szCs w:val="20"/>
                <w:color w:val="auto"/>
              </w:rPr>
            </w:pPr>
            <w:r>
              <w:rPr>
                <w:rFonts w:ascii="Arial" w:cs="Arial" w:eastAsia="Arial" w:hAnsi="Arial"/>
                <w:sz w:val="11"/>
                <w:szCs w:val="11"/>
                <w:b w:val="1"/>
                <w:bCs w:val="1"/>
                <w:color w:val="auto"/>
              </w:rPr>
              <w:t>Nine Months Ended</w:t>
            </w:r>
          </w:p>
        </w:tc>
        <w:tc>
          <w:tcPr>
            <w:tcW w:w="1020" w:type="dxa"/>
            <w:vAlign w:val="bottom"/>
          </w:tcPr>
          <w:p>
            <w:pPr>
              <w:spacing w:after="0"/>
              <w:rPr>
                <w:sz w:val="10"/>
                <w:szCs w:val="10"/>
                <w:color w:val="auto"/>
              </w:rPr>
            </w:pPr>
          </w:p>
        </w:tc>
      </w:tr>
      <w:tr>
        <w:trPr>
          <w:trHeight w:val="150"/>
        </w:trPr>
        <w:tc>
          <w:tcPr>
            <w:tcW w:w="80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jc w:val="right"/>
              <w:ind w:right="189"/>
              <w:spacing w:after="0"/>
              <w:rPr>
                <w:sz w:val="20"/>
                <w:szCs w:val="20"/>
                <w:color w:val="auto"/>
              </w:rPr>
            </w:pPr>
            <w:r>
              <w:rPr>
                <w:rFonts w:ascii="Arial" w:cs="Arial" w:eastAsia="Arial" w:hAnsi="Arial"/>
                <w:sz w:val="11"/>
                <w:szCs w:val="11"/>
                <w:b w:val="1"/>
                <w:bCs w:val="1"/>
                <w:color w:val="auto"/>
              </w:rPr>
              <w:t>September 30,</w:t>
            </w:r>
          </w:p>
        </w:tc>
        <w:tc>
          <w:tcPr>
            <w:tcW w:w="1020" w:type="dxa"/>
            <w:vAlign w:val="bottom"/>
            <w:tcBorders>
              <w:bottom w:val="single" w:sz="8" w:color="auto"/>
            </w:tcBorders>
          </w:tcPr>
          <w:p>
            <w:pPr>
              <w:spacing w:after="0"/>
              <w:rPr>
                <w:sz w:val="13"/>
                <w:szCs w:val="13"/>
                <w:color w:val="auto"/>
              </w:rPr>
            </w:pPr>
          </w:p>
        </w:tc>
      </w:tr>
      <w:tr>
        <w:trPr>
          <w:trHeight w:val="153"/>
        </w:trPr>
        <w:tc>
          <w:tcPr>
            <w:tcW w:w="8020" w:type="dxa"/>
            <w:vAlign w:val="bottom"/>
            <w:tcBorders>
              <w:bottom w:val="single" w:sz="8" w:color="CFF0FC"/>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5"/>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12"/>
              <w:spacing w:after="0"/>
              <w:rPr>
                <w:sz w:val="20"/>
                <w:szCs w:val="20"/>
                <w:color w:val="auto"/>
              </w:rPr>
            </w:pPr>
            <w:r>
              <w:rPr>
                <w:rFonts w:ascii="Arial" w:cs="Arial" w:eastAsia="Arial" w:hAnsi="Arial"/>
                <w:sz w:val="11"/>
                <w:szCs w:val="11"/>
                <w:b w:val="1"/>
                <w:bCs w:val="1"/>
                <w:color w:val="auto"/>
              </w:rPr>
              <w:t>2021</w:t>
            </w:r>
          </w:p>
        </w:tc>
      </w:tr>
      <w:tr>
        <w:trPr>
          <w:trHeight w:val="167"/>
        </w:trPr>
        <w:tc>
          <w:tcPr>
            <w:tcW w:w="8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cash (used in) provided by:</w:t>
            </w:r>
          </w:p>
        </w:tc>
        <w:tc>
          <w:tcPr>
            <w:tcW w:w="3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r>
      <w:tr>
        <w:trPr>
          <w:trHeight w:val="180"/>
        </w:trPr>
        <w:tc>
          <w:tcPr>
            <w:tcW w:w="8020" w:type="dxa"/>
            <w:vAlign w:val="bottom"/>
          </w:tcPr>
          <w:p>
            <w:pPr>
              <w:ind w:left="20"/>
              <w:spacing w:after="0"/>
              <w:rPr>
                <w:sz w:val="20"/>
                <w:szCs w:val="20"/>
                <w:color w:val="auto"/>
              </w:rPr>
            </w:pPr>
            <w:r>
              <w:rPr>
                <w:rFonts w:ascii="Arial" w:cs="Arial" w:eastAsia="Arial" w:hAnsi="Arial"/>
                <w:sz w:val="14"/>
                <w:szCs w:val="14"/>
                <w:color w:val="auto"/>
              </w:rPr>
              <w:t>Operating activities</w:t>
            </w: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(62,908)</w:t>
            </w:r>
          </w:p>
        </w:tc>
        <w:tc>
          <w:tcPr>
            <w:tcW w:w="100" w:type="dxa"/>
            <w:vAlign w:val="bottom"/>
          </w:tcPr>
          <w:p>
            <w:pPr>
              <w:spacing w:after="0"/>
              <w:rPr>
                <w:sz w:val="15"/>
                <w:szCs w:val="15"/>
                <w:color w:val="auto"/>
              </w:rPr>
            </w:pPr>
          </w:p>
        </w:tc>
        <w:tc>
          <w:tcPr>
            <w:tcW w:w="560" w:type="dxa"/>
            <w:vAlign w:val="bottom"/>
          </w:tcPr>
          <w:p>
            <w:pPr>
              <w:jc w:val="right"/>
              <w:ind w:right="40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(20,619)</w:t>
            </w:r>
          </w:p>
        </w:tc>
      </w:tr>
      <w:tr>
        <w:trPr>
          <w:trHeight w:val="181"/>
        </w:trPr>
        <w:tc>
          <w:tcPr>
            <w:tcW w:w="8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Investing activities</w:t>
            </w:r>
          </w:p>
        </w:tc>
        <w:tc>
          <w:tcPr>
            <w:tcW w:w="38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(416,342)</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105,529</w:t>
            </w:r>
          </w:p>
        </w:tc>
      </w:tr>
      <w:tr>
        <w:trPr>
          <w:trHeight w:val="18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Financing activities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42,068</w:t>
            </w:r>
          </w:p>
        </w:tc>
        <w:tc>
          <w:tcPr>
            <w:tcW w:w="100" w:type="dxa"/>
            <w:vAlign w:val="bottom"/>
            <w:tcBorders>
              <w:bottom w:val="single" w:sz="8" w:color="CFF0FC"/>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962</w:t>
            </w:r>
          </w:p>
        </w:tc>
      </w:tr>
      <w:tr>
        <w:trPr>
          <w:trHeight w:val="196"/>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Net (decrease) increase in cash and cash equivalents</w:t>
            </w:r>
          </w:p>
        </w:tc>
        <w:tc>
          <w:tcPr>
            <w:tcW w:w="380" w:type="dxa"/>
            <w:vAlign w:val="bottom"/>
            <w:tcBorders>
              <w:bottom w:val="single" w:sz="8" w:color="auto"/>
            </w:tcBorders>
            <w:shd w:val="clear" w:color="auto" w:fill="CFF0FC"/>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(437,182)</w:t>
            </w:r>
          </w:p>
        </w:tc>
        <w:tc>
          <w:tcPr>
            <w:tcW w:w="10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ind w:right="40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85,872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Operating Activities</w:t>
      </w:r>
    </w:p>
    <w:p>
      <w:pPr>
        <w:spacing w:after="0" w:line="94" w:lineRule="exact"/>
        <w:rPr>
          <w:sz w:val="20"/>
          <w:szCs w:val="20"/>
          <w:color w:val="auto"/>
        </w:rPr>
      </w:pPr>
    </w:p>
    <w:p>
      <w:pPr>
        <w:jc w:val="both"/>
        <w:ind w:right="20" w:firstLine="382"/>
        <w:spacing w:after="0" w:line="288" w:lineRule="auto"/>
        <w:rPr>
          <w:sz w:val="20"/>
          <w:szCs w:val="20"/>
          <w:color w:val="auto"/>
        </w:rPr>
      </w:pPr>
      <w:r>
        <w:rPr>
          <w:rFonts w:ascii="Arial" w:cs="Arial" w:eastAsia="Arial" w:hAnsi="Arial"/>
          <w:sz w:val="13"/>
          <w:szCs w:val="13"/>
          <w:color w:val="auto"/>
        </w:rPr>
        <w:t>Net cash used in operating activities during the nine months ended September 30, 2022 of $62.9 million was primarily due to our net loss of $102.3 million, adjusted for addbacks for non-cash expenses of $38.5 million, which includes stock-based compensation, amortization of operating right-of-use assets, non-cash interest expense, and net increases in working capital of $0.9 million. Net cash used in operating activities during the nine months ended September 30, 2021 of $20.6 million was primarily due to our net loss of $25.3 million, adjusted for addbacks for non-cash expenses of $13.5 million, which includes stock-based compensation and amortization of operating right-of-use assets, and net decreases in working capital of $8.8 million.</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Investing Activities</w:t>
      </w:r>
    </w:p>
    <w:p>
      <w:pPr>
        <w:spacing w:after="0" w:line="94" w:lineRule="exact"/>
        <w:rPr>
          <w:sz w:val="20"/>
          <w:szCs w:val="20"/>
          <w:color w:val="auto"/>
        </w:rPr>
      </w:pPr>
    </w:p>
    <w:p>
      <w:pPr>
        <w:ind w:right="40" w:firstLine="382"/>
        <w:spacing w:after="0" w:line="281" w:lineRule="auto"/>
        <w:rPr>
          <w:sz w:val="20"/>
          <w:szCs w:val="20"/>
          <w:color w:val="auto"/>
        </w:rPr>
      </w:pPr>
      <w:r>
        <w:rPr>
          <w:rFonts w:ascii="Arial" w:cs="Arial" w:eastAsia="Arial" w:hAnsi="Arial"/>
          <w:sz w:val="14"/>
          <w:szCs w:val="14"/>
          <w:color w:val="auto"/>
        </w:rPr>
        <w:t>Net cash (used in) and provided by investing activities during the nine months ended September 30, 2022 and 2021 of $(416.3) million and $105.5 million, respectively, primarily relates to the timing of sales, maturities and purchases of our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35" w:name="page36"/>
    <w:bookmarkEnd w:id="35"/>
    <w:p>
      <w:pPr>
        <w:ind w:left="320"/>
        <w:spacing w:after="0"/>
        <w:rPr>
          <w:sz w:val="20"/>
          <w:szCs w:val="20"/>
          <w:color w:val="auto"/>
        </w:rPr>
      </w:pPr>
      <w:r>
        <w:rPr>
          <w:rFonts w:ascii="Arial" w:cs="Arial" w:eastAsia="Arial" w:hAnsi="Arial"/>
          <w:sz w:val="14"/>
          <w:szCs w:val="14"/>
          <w:i w:val="1"/>
          <w:iCs w:val="1"/>
          <w:color w:val="auto"/>
        </w:rPr>
        <w:t>Financing Activities</w:t>
      </w:r>
    </w:p>
    <w:p>
      <w:pPr>
        <w:spacing w:after="0" w:line="94" w:lineRule="exact"/>
        <w:rPr>
          <w:sz w:val="20"/>
          <w:szCs w:val="20"/>
          <w:color w:val="auto"/>
        </w:rPr>
      </w:pPr>
    </w:p>
    <w:p>
      <w:pPr>
        <w:jc w:val="both"/>
        <w:ind w:firstLine="382"/>
        <w:spacing w:after="0" w:line="331" w:lineRule="auto"/>
        <w:rPr>
          <w:sz w:val="20"/>
          <w:szCs w:val="20"/>
          <w:color w:val="auto"/>
        </w:rPr>
      </w:pPr>
      <w:r>
        <w:rPr>
          <w:rFonts w:ascii="Arial" w:cs="Arial" w:eastAsia="Arial" w:hAnsi="Arial"/>
          <w:sz w:val="12"/>
          <w:szCs w:val="12"/>
          <w:color w:val="auto"/>
        </w:rPr>
        <w:t>The net cash provided by financing activities during the nine months ended September 30, 2022 of $42.1 million was primarily related to $35.0 million received for the sale of future royalties, $8.4 million for the issuance of common stock, offset by $1.0 million for repayments of the liability for the sale of future royalties with Sagard, and $0.3 million for payments for debt issuance costs. The net cash provided by financing activities during the nine months ended September 30, 2021 of $1.0 million primarily related to the issuance of common stock upon the exercise of stock options.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w:t>
      </w:r>
    </w:p>
    <w:p>
      <w:pPr>
        <w:spacing w:after="0" w:line="98" w:lineRule="exact"/>
        <w:rPr>
          <w:sz w:val="20"/>
          <w:szCs w:val="20"/>
          <w:color w:val="auto"/>
        </w:rPr>
      </w:pPr>
    </w:p>
    <w:p>
      <w:pPr>
        <w:ind w:right="20" w:firstLine="382"/>
        <w:spacing w:after="0" w:line="262" w:lineRule="auto"/>
        <w:rPr>
          <w:sz w:val="20"/>
          <w:szCs w:val="20"/>
          <w:color w:val="auto"/>
        </w:rPr>
      </w:pPr>
      <w:r>
        <w:rPr>
          <w:rFonts w:ascii="Arial" w:cs="Arial" w:eastAsia="Arial" w:hAnsi="Arial"/>
          <w:sz w:val="14"/>
          <w:szCs w:val="14"/>
          <w:color w:val="auto"/>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 and therefore are cancellable contracts.</w:t>
      </w:r>
    </w:p>
    <w:p>
      <w:pPr>
        <w:spacing w:after="0" w:line="61" w:lineRule="exact"/>
        <w:rPr>
          <w:sz w:val="20"/>
          <w:szCs w:val="20"/>
          <w:color w:val="auto"/>
        </w:rPr>
      </w:pPr>
    </w:p>
    <w:p>
      <w:pPr>
        <w:ind w:right="120" w:firstLine="382"/>
        <w:spacing w:after="0" w:line="281" w:lineRule="auto"/>
        <w:rPr>
          <w:sz w:val="20"/>
          <w:szCs w:val="20"/>
          <w:color w:val="auto"/>
        </w:rPr>
      </w:pPr>
      <w:r>
        <w:rPr>
          <w:rFonts w:ascii="Arial" w:cs="Arial" w:eastAsia="Arial" w:hAnsi="Arial"/>
          <w:sz w:val="14"/>
          <w:szCs w:val="14"/>
          <w:color w:val="auto"/>
        </w:rPr>
        <w:t>For further information related to our operating lease and future minimum annual obligations, see Note 9 — Commitments and Contingencies in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402" w:right="39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98" w:lineRule="exact"/>
        <w:rPr>
          <w:sz w:val="20"/>
          <w:szCs w:val="20"/>
          <w:color w:val="auto"/>
        </w:rPr>
      </w:pPr>
    </w:p>
    <w:p>
      <w:pPr>
        <w:ind w:right="80" w:firstLine="382"/>
        <w:spacing w:after="0" w:line="281" w:lineRule="auto"/>
        <w:rPr>
          <w:sz w:val="20"/>
          <w:szCs w:val="20"/>
          <w:color w:val="auto"/>
        </w:rPr>
      </w:pPr>
      <w:r>
        <w:rPr>
          <w:rFonts w:ascii="Arial" w:cs="Arial" w:eastAsia="Arial" w:hAnsi="Arial"/>
          <w:sz w:val="14"/>
          <w:szCs w:val="14"/>
          <w:color w:val="auto"/>
        </w:rPr>
        <w:t>As of September 30, 2022, there have been no material changes surrounding our market risk, including interest rate risk, inflation risk, and foreign currency exchange risk from the discussion provided in Item 7A. Quantitative and Qualitative Disclosures About Market Risk of our Annual Report on Form 10-K filed with the SEC on March 7, 2022.</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Controls and Procedures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98" w:lineRule="exact"/>
        <w:rPr>
          <w:sz w:val="20"/>
          <w:szCs w:val="20"/>
          <w:color w:val="auto"/>
        </w:rPr>
      </w:pPr>
    </w:p>
    <w:p>
      <w:pPr>
        <w:ind w:firstLine="382"/>
        <w:spacing w:after="0" w:line="282" w:lineRule="auto"/>
        <w:rPr>
          <w:sz w:val="20"/>
          <w:szCs w:val="20"/>
          <w:color w:val="auto"/>
        </w:rPr>
      </w:pPr>
      <w:r>
        <w:rPr>
          <w:rFonts w:ascii="Arial" w:cs="Arial" w:eastAsia="Arial" w:hAnsi="Arial"/>
          <w:sz w:val="13"/>
          <w:szCs w:val="13"/>
          <w:color w:val="auto"/>
        </w:rPr>
        <w:t>Our disclosure controls and procedures are designed to ensure that information required to be disclosed in the reports we file or submit under the Securities Exchange Act of 1934, as amended (the “Exchange Act”) is recorded, processed, summarized, and reported within the time periods specified in the Securities and Exchange Commission’s rules and forms and that such information is accumulated and communicated to our management, including the Chief Executive Officer and the Chief Financial Officer, to allow timely decisions regarding required disclosures. As of September 30, 2022, our management, with the participation of our Chief Executive Officer and Chief Financial Officer, performed an evaluation of the effectiveness of the design and operation of our disclosure controls and procedures as defined in Rules 13a-15(e) and 15d-15(e) of the Exchange Act. Based on this evaluation, our Chief Executive Officer and Chief Financial Officer concluded that the design and operation of our disclosure controls and procedures were effective at a reasonable assurance level.</w:t>
      </w:r>
    </w:p>
    <w:p>
      <w:pPr>
        <w:spacing w:after="0" w:line="49" w:lineRule="exact"/>
        <w:rPr>
          <w:sz w:val="20"/>
          <w:szCs w:val="20"/>
          <w:color w:val="auto"/>
        </w:rPr>
      </w:pPr>
    </w:p>
    <w:p>
      <w:pPr>
        <w:ind w:right="220" w:firstLine="382"/>
        <w:spacing w:after="0" w:line="281" w:lineRule="auto"/>
        <w:rPr>
          <w:sz w:val="20"/>
          <w:szCs w:val="20"/>
          <w:color w:val="auto"/>
        </w:rPr>
      </w:pPr>
      <w:r>
        <w:rPr>
          <w:rFonts w:ascii="Arial" w:cs="Arial" w:eastAsia="Arial" w:hAnsi="Arial"/>
          <w:sz w:val="14"/>
          <w:szCs w:val="14"/>
          <w:color w:val="auto"/>
        </w:rPr>
        <w:t>Any controls and procedures, no matter how well designed and operated, can provide only reasonable assurance of achieving the desired control objective, and our management necessarily applies its judgment in evaluating the cost-benefit relationship of possible controls and procedures.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98" w:lineRule="exact"/>
        <w:rPr>
          <w:sz w:val="20"/>
          <w:szCs w:val="20"/>
          <w:color w:val="auto"/>
        </w:rPr>
      </w:pPr>
    </w:p>
    <w:p>
      <w:pPr>
        <w:ind w:firstLine="382"/>
        <w:spacing w:after="0" w:line="281" w:lineRule="auto"/>
        <w:rPr>
          <w:sz w:val="20"/>
          <w:szCs w:val="20"/>
          <w:color w:val="auto"/>
        </w:rPr>
      </w:pPr>
      <w:r>
        <w:rPr>
          <w:rFonts w:ascii="Arial" w:cs="Arial" w:eastAsia="Arial" w:hAnsi="Arial"/>
          <w:sz w:val="14"/>
          <w:szCs w:val="14"/>
          <w:color w:val="auto"/>
        </w:rPr>
        <w:t>There were no changes in our internal control over financial reporting identified in connection with the evaluation required by Rules 13a-15(f) and 15d-15(f) of the Exchange Act that occurred during the quarter ended September 30,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28" w:right="35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4"/>
          <w:szCs w:val="14"/>
          <w:b w:val="1"/>
          <w:bCs w:val="1"/>
          <w:color w:val="auto"/>
        </w:rPr>
        <w:t>PART II. OTHER INFORMATION</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Legal Proceedings</w:t>
      </w:r>
    </w:p>
    <w:p>
      <w:pPr>
        <w:spacing w:after="0" w:line="98" w:lineRule="exact"/>
        <w:rPr>
          <w:sz w:val="20"/>
          <w:szCs w:val="20"/>
          <w:color w:val="auto"/>
        </w:rPr>
      </w:pPr>
    </w:p>
    <w:p>
      <w:pPr>
        <w:ind w:right="40" w:firstLine="382"/>
        <w:spacing w:after="0" w:line="267" w:lineRule="auto"/>
        <w:rPr>
          <w:sz w:val="20"/>
          <w:szCs w:val="20"/>
          <w:color w:val="auto"/>
        </w:rPr>
      </w:pPr>
      <w:r>
        <w:rPr>
          <w:rFonts w:ascii="Arial" w:cs="Arial" w:eastAsia="Arial" w:hAnsi="Arial"/>
          <w:sz w:val="14"/>
          <w:szCs w:val="14"/>
          <w:color w:val="auto"/>
        </w:rPr>
        <w:t>From time to time, we may be involved in legal proceedings arising in the ordinary course of our business. We investigate these claims as they arise and accrue estimates for resolution of legal and other contingencies when losses are probable and estimable. Regardless of outcome, litigation can have an adverse impact on us due to defense and settlement costs, diversion of management resources, negative publicity and reputational harm, and other factors.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183" w:lineRule="exact"/>
        <w:rPr>
          <w:sz w:val="20"/>
          <w:szCs w:val="20"/>
          <w:color w:val="auto"/>
        </w:rPr>
      </w:pPr>
    </w:p>
    <w:p>
      <w:pPr>
        <w:ind w:firstLine="382"/>
        <w:spacing w:after="0" w:line="262" w:lineRule="auto"/>
        <w:rPr>
          <w:sz w:val="20"/>
          <w:szCs w:val="20"/>
          <w:color w:val="auto"/>
        </w:rPr>
      </w:pPr>
      <w:r>
        <w:rPr>
          <w:rFonts w:ascii="Arial" w:cs="Arial" w:eastAsia="Arial" w:hAnsi="Arial"/>
          <w:sz w:val="14"/>
          <w:szCs w:val="14"/>
          <w:i w:val="1"/>
          <w:iCs w:val="1"/>
          <w:color w:val="auto"/>
        </w:rPr>
        <w:t>Investing in our common stock involves a high degree of risk. You should carefully consider the risks described below, as well as the other information in this report,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4"/>
          <w:szCs w:val="14"/>
          <w:b w:val="1"/>
          <w:bCs w:val="1"/>
          <w:u w:val="single" w:color="auto"/>
          <w:color w:val="auto"/>
        </w:rPr>
        <w:t>Summary of Risk Factors</w:t>
      </w:r>
    </w:p>
    <w:p>
      <w:pPr>
        <w:spacing w:after="0" w:line="98" w:lineRule="exact"/>
        <w:rPr>
          <w:sz w:val="20"/>
          <w:szCs w:val="20"/>
          <w:color w:val="auto"/>
        </w:rPr>
      </w:pPr>
    </w:p>
    <w:p>
      <w:pPr>
        <w:ind w:right="140" w:firstLine="382"/>
        <w:spacing w:after="0" w:line="281" w:lineRule="auto"/>
        <w:rPr>
          <w:sz w:val="20"/>
          <w:szCs w:val="20"/>
          <w:color w:val="auto"/>
        </w:rPr>
      </w:pPr>
      <w:r>
        <w:rPr>
          <w:rFonts w:ascii="Arial" w:cs="Arial" w:eastAsia="Arial" w:hAnsi="Arial"/>
          <w:sz w:val="14"/>
          <w:szCs w:val="14"/>
          <w:color w:val="auto"/>
        </w:rPr>
        <w:t>An investment in our common stock involves various risks, and prospective investors are urged to carefully consider the matters discussed in the section titled “Risk Factors” prior to making an investment in our common stock. These risks include, but are not limited to, the following:</w:t>
      </w:r>
    </w:p>
    <w:p>
      <w:pPr>
        <w:spacing w:after="0" w:line="47" w:lineRule="exact"/>
        <w:rPr>
          <w:sz w:val="20"/>
          <w:szCs w:val="20"/>
          <w:color w:val="auto"/>
        </w:rPr>
      </w:pPr>
    </w:p>
    <w:p>
      <w:pPr>
        <w:ind w:left="700" w:right="200" w:hanging="313"/>
        <w:spacing w:after="0" w:line="267" w:lineRule="auto"/>
        <w:tabs>
          <w:tab w:leader="none" w:pos="696"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product candidates are in early stages of development and may fail in development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spacing w:after="0" w:line="56" w:lineRule="exact"/>
        <w:rPr>
          <w:rFonts w:ascii="Arial" w:cs="Arial" w:eastAsia="Arial" w:hAnsi="Arial"/>
          <w:sz w:val="14"/>
          <w:szCs w:val="14"/>
          <w:color w:val="auto"/>
        </w:rPr>
      </w:pPr>
    </w:p>
    <w:p>
      <w:pPr>
        <w:jc w:val="both"/>
        <w:ind w:left="700" w:right="120" w:hanging="313"/>
        <w:spacing w:after="0" w:line="368" w:lineRule="auto"/>
        <w:tabs>
          <w:tab w:leader="none" w:pos="696" w:val="left"/>
        </w:tabs>
        <w:numPr>
          <w:ilvl w:val="0"/>
          <w:numId w:val="15"/>
        </w:numPr>
        <w:rPr>
          <w:rFonts w:ascii="Arial" w:cs="Arial" w:eastAsia="Arial" w:hAnsi="Arial"/>
          <w:sz w:val="12"/>
          <w:szCs w:val="12"/>
          <w:color w:val="auto"/>
        </w:rPr>
      </w:pPr>
      <w:r>
        <w:rPr>
          <w:rFonts w:ascii="Arial" w:cs="Arial" w:eastAsia="Arial" w:hAnsi="Arial"/>
          <w:sz w:val="12"/>
          <w:szCs w:val="12"/>
          <w:color w:val="auto"/>
        </w:rPr>
        <w:t>We have only limited data regarding the safety profile of our product candidates when dosed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1" w:lineRule="exact"/>
        <w:rPr>
          <w:rFonts w:ascii="Arial" w:cs="Arial" w:eastAsia="Arial" w:hAnsi="Arial"/>
          <w:sz w:val="12"/>
          <w:szCs w:val="12"/>
          <w:color w:val="auto"/>
        </w:rPr>
      </w:pPr>
    </w:p>
    <w:p>
      <w:pPr>
        <w:ind w:left="700" w:right="580" w:hanging="313"/>
        <w:spacing w:after="0" w:line="281" w:lineRule="auto"/>
        <w:tabs>
          <w:tab w:leader="none" w:pos="696"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47" w:lineRule="exact"/>
        <w:rPr>
          <w:rFonts w:ascii="Arial" w:cs="Arial" w:eastAsia="Arial" w:hAnsi="Arial"/>
          <w:sz w:val="14"/>
          <w:szCs w:val="14"/>
          <w:color w:val="auto"/>
        </w:rPr>
      </w:pPr>
    </w:p>
    <w:p>
      <w:pPr>
        <w:ind w:left="700" w:hanging="313"/>
        <w:spacing w:after="0"/>
        <w:tabs>
          <w:tab w:leader="none" w:pos="7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may not be successful in our efforts to use our technology platform to expand our pipeline of product candidates and develop marketable products.</w:t>
      </w:r>
    </w:p>
    <w:p>
      <w:pPr>
        <w:spacing w:after="0" w:line="93" w:lineRule="exact"/>
        <w:rPr>
          <w:rFonts w:ascii="Arial" w:cs="Arial" w:eastAsia="Arial" w:hAnsi="Arial"/>
          <w:sz w:val="14"/>
          <w:szCs w:val="14"/>
          <w:color w:val="auto"/>
        </w:rPr>
      </w:pPr>
    </w:p>
    <w:p>
      <w:pPr>
        <w:ind w:left="700" w:hanging="313"/>
        <w:spacing w:after="0" w:line="281" w:lineRule="auto"/>
        <w:tabs>
          <w:tab w:leader="none" w:pos="696"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have recently commenced clinical development of rosnilimab, ANB032 and imsidolimab and have no history of commercializing biotechnology products, which may make it difficult to evaluate the prospects for our future viability.</w:t>
      </w:r>
    </w:p>
    <w:p>
      <w:pPr>
        <w:spacing w:after="0" w:line="47" w:lineRule="exact"/>
        <w:rPr>
          <w:rFonts w:ascii="Arial" w:cs="Arial" w:eastAsia="Arial" w:hAnsi="Arial"/>
          <w:sz w:val="14"/>
          <w:szCs w:val="14"/>
          <w:color w:val="auto"/>
        </w:rPr>
      </w:pPr>
    </w:p>
    <w:p>
      <w:pPr>
        <w:ind w:left="700" w:right="540" w:hanging="313"/>
        <w:spacing w:after="0" w:line="281" w:lineRule="auto"/>
        <w:tabs>
          <w:tab w:leader="none" w:pos="696"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face significant competition, and if our competitors develop and market products that are more effective, safer or less expensive than our product candidates, our commercial opportunities will be negatively impacted.</w:t>
      </w:r>
    </w:p>
    <w:p>
      <w:pPr>
        <w:spacing w:after="0" w:line="47" w:lineRule="exact"/>
        <w:rPr>
          <w:rFonts w:ascii="Arial" w:cs="Arial" w:eastAsia="Arial" w:hAnsi="Arial"/>
          <w:sz w:val="14"/>
          <w:szCs w:val="14"/>
          <w:color w:val="auto"/>
        </w:rPr>
      </w:pPr>
    </w:p>
    <w:p>
      <w:pPr>
        <w:ind w:left="700" w:right="360" w:hanging="313"/>
        <w:spacing w:after="0" w:line="281" w:lineRule="auto"/>
        <w:tabs>
          <w:tab w:leader="none" w:pos="696"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product candidates may not achieve adequate market acceptance among physicians, patients, health care payors and others in the medical community necessary for commercial success.</w:t>
      </w:r>
    </w:p>
    <w:p>
      <w:pPr>
        <w:spacing w:after="0" w:line="47" w:lineRule="exact"/>
        <w:rPr>
          <w:rFonts w:ascii="Arial" w:cs="Arial" w:eastAsia="Arial" w:hAnsi="Arial"/>
          <w:sz w:val="14"/>
          <w:szCs w:val="14"/>
          <w:color w:val="auto"/>
        </w:rPr>
      </w:pPr>
    </w:p>
    <w:p>
      <w:pPr>
        <w:ind w:left="700" w:right="80" w:hanging="313"/>
        <w:spacing w:after="0" w:line="281" w:lineRule="auto"/>
        <w:tabs>
          <w:tab w:leader="none" w:pos="696" w:val="left"/>
        </w:tabs>
        <w:numPr>
          <w:ilvl w:val="0"/>
          <w:numId w:val="15"/>
        </w:numPr>
        <w:rPr>
          <w:rFonts w:ascii="Arial" w:cs="Arial" w:eastAsia="Arial" w:hAnsi="Arial"/>
          <w:sz w:val="14"/>
          <w:szCs w:val="14"/>
          <w:color w:val="auto"/>
        </w:rPr>
      </w:pPr>
      <w:r>
        <w:rPr>
          <w:rFonts w:ascii="Arial" w:cs="Arial" w:eastAsia="Arial" w:hAnsi="Arial"/>
          <w:sz w:val="14"/>
          <w:szCs w:val="14"/>
          <w:color w:val="auto"/>
        </w:rPr>
        <w:t>If companion diagnostics for our product candidates, for which such diagnostics are required, are not successfully, and in a timely manner, validated, developed or approved, we may not achieve marketing approval or realize the full commercial potential of our product candidates.</w:t>
      </w:r>
    </w:p>
    <w:p>
      <w:pPr>
        <w:spacing w:after="0" w:line="47" w:lineRule="exact"/>
        <w:rPr>
          <w:rFonts w:ascii="Arial" w:cs="Arial" w:eastAsia="Arial" w:hAnsi="Arial"/>
          <w:sz w:val="14"/>
          <w:szCs w:val="14"/>
          <w:color w:val="auto"/>
        </w:rPr>
      </w:pPr>
    </w:p>
    <w:p>
      <w:pPr>
        <w:ind w:left="700" w:right="120" w:hanging="313"/>
        <w:spacing w:after="0" w:line="281" w:lineRule="auto"/>
        <w:tabs>
          <w:tab w:leader="none" w:pos="696"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manufacture of biologics is complex, and our third-party manufacturers may encounter difficulties in production. If any of our third-party manufacturers encounter such difficulties, our ability to provide supply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28" w:right="339" w:bottom="1440" w:gutter="0" w:footer="0" w:header="0"/>
        </w:sectPr>
      </w:pPr>
    </w:p>
    <w:bookmarkStart w:id="38" w:name="page39"/>
    <w:bookmarkEnd w:id="38"/>
    <w:p>
      <w:pPr>
        <w:ind w:left="700"/>
        <w:spacing w:after="0"/>
        <w:rPr>
          <w:sz w:val="20"/>
          <w:szCs w:val="20"/>
          <w:color w:val="auto"/>
        </w:rPr>
      </w:pPr>
      <w:r>
        <w:rPr>
          <w:rFonts w:ascii="Arial" w:cs="Arial" w:eastAsia="Arial" w:hAnsi="Arial"/>
          <w:sz w:val="13"/>
          <w:szCs w:val="13"/>
          <w:color w:val="auto"/>
        </w:rPr>
        <w:t>product candidates for clinical trials, our ability to obtain marketing approval, or our ability to provide supply of our products for patients, if approved, could be delayed or stopped.</w:t>
      </w:r>
    </w:p>
    <w:p>
      <w:pPr>
        <w:spacing w:after="0" w:line="105" w:lineRule="exact"/>
        <w:rPr>
          <w:sz w:val="20"/>
          <w:szCs w:val="20"/>
          <w:color w:val="auto"/>
        </w:rPr>
      </w:pPr>
    </w:p>
    <w:p>
      <w:pPr>
        <w:ind w:left="700" w:right="40" w:hanging="313"/>
        <w:spacing w:after="0" w:line="281" w:lineRule="auto"/>
        <w:tabs>
          <w:tab w:leader="none" w:pos="696"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COVID-19 pandemic has had a material impact on the U.S. and global economies and could have a material adverse impact on our employees, contractors, and patients, which could adversely and materially impact our business, financial condition, and results of operations.</w:t>
      </w:r>
    </w:p>
    <w:p>
      <w:pPr>
        <w:spacing w:after="0" w:line="47" w:lineRule="exact"/>
        <w:rPr>
          <w:rFonts w:ascii="Arial" w:cs="Arial" w:eastAsia="Arial" w:hAnsi="Arial"/>
          <w:sz w:val="14"/>
          <w:szCs w:val="14"/>
          <w:color w:val="auto"/>
        </w:rPr>
      </w:pPr>
    </w:p>
    <w:p>
      <w:pPr>
        <w:ind w:left="700" w:hanging="313"/>
        <w:spacing w:after="0"/>
        <w:tabs>
          <w:tab w:leader="none" w:pos="7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have limited operating revenue and a history of operational losses and may not achieve or sustain profitability.</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have no products approved for commercial sale, and to date we have not generated any revenue or profit from sales of our product candidates.</w:t>
      </w:r>
    </w:p>
    <w:p>
      <w:pPr>
        <w:spacing w:after="0" w:line="93" w:lineRule="exact"/>
        <w:rPr>
          <w:rFonts w:ascii="Arial" w:cs="Arial" w:eastAsia="Arial" w:hAnsi="Arial"/>
          <w:sz w:val="14"/>
          <w:szCs w:val="14"/>
          <w:color w:val="auto"/>
        </w:rPr>
      </w:pPr>
    </w:p>
    <w:p>
      <w:pPr>
        <w:ind w:left="700" w:right="460" w:hanging="313"/>
        <w:spacing w:after="0" w:line="281" w:lineRule="auto"/>
        <w:tabs>
          <w:tab w:leader="none" w:pos="696"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47" w:lineRule="exact"/>
        <w:rPr>
          <w:rFonts w:ascii="Arial" w:cs="Arial" w:eastAsia="Arial" w:hAnsi="Arial"/>
          <w:sz w:val="14"/>
          <w:szCs w:val="14"/>
          <w:color w:val="auto"/>
        </w:rPr>
      </w:pPr>
    </w:p>
    <w:p>
      <w:pPr>
        <w:ind w:left="700" w:hanging="313"/>
        <w:spacing w:after="0"/>
        <w:tabs>
          <w:tab w:leader="none" w:pos="7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must attract and retain highly skilled employees in order to succeed.</w:t>
      </w:r>
    </w:p>
    <w:p>
      <w:pPr>
        <w:spacing w:after="0" w:line="93" w:lineRule="exact"/>
        <w:rPr>
          <w:rFonts w:ascii="Arial" w:cs="Arial" w:eastAsia="Arial" w:hAnsi="Arial"/>
          <w:sz w:val="14"/>
          <w:szCs w:val="14"/>
          <w:color w:val="auto"/>
        </w:rPr>
      </w:pPr>
    </w:p>
    <w:p>
      <w:pPr>
        <w:ind w:left="700" w:right="340" w:hanging="313"/>
        <w:spacing w:after="0" w:line="281" w:lineRule="auto"/>
        <w:tabs>
          <w:tab w:leader="none" w:pos="696"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47" w:lineRule="exact"/>
        <w:rPr>
          <w:rFonts w:ascii="Arial" w:cs="Arial" w:eastAsia="Arial" w:hAnsi="Arial"/>
          <w:sz w:val="14"/>
          <w:szCs w:val="14"/>
          <w:color w:val="auto"/>
        </w:rPr>
      </w:pPr>
    </w:p>
    <w:p>
      <w:pPr>
        <w:ind w:left="700" w:right="560" w:hanging="313"/>
        <w:spacing w:after="0" w:line="281" w:lineRule="auto"/>
        <w:tabs>
          <w:tab w:leader="none" w:pos="696"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existing collaboration with GSK is important to our business, and future collaborations may also be important to us. If we are unable to maintain this collaboration, or if this collaboration is not successful, our business could be adversely affected.</w:t>
      </w:r>
    </w:p>
    <w:p>
      <w:pPr>
        <w:spacing w:after="0" w:line="47" w:lineRule="exact"/>
        <w:rPr>
          <w:rFonts w:ascii="Arial" w:cs="Arial" w:eastAsia="Arial" w:hAnsi="Arial"/>
          <w:sz w:val="14"/>
          <w:szCs w:val="14"/>
          <w:color w:val="auto"/>
        </w:rPr>
      </w:pPr>
    </w:p>
    <w:p>
      <w:pPr>
        <w:ind w:left="700" w:hanging="313"/>
        <w:spacing w:after="0" w:line="281" w:lineRule="auto"/>
        <w:tabs>
          <w:tab w:leader="none" w:pos="696"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may not succeed in establishing and maintaining additional development and commercialization collaborations, which could adversely affect our ability to develop and commercialize product candidates.</w:t>
      </w:r>
    </w:p>
    <w:p>
      <w:pPr>
        <w:spacing w:after="0" w:line="47" w:lineRule="exact"/>
        <w:rPr>
          <w:rFonts w:ascii="Arial" w:cs="Arial" w:eastAsia="Arial" w:hAnsi="Arial"/>
          <w:sz w:val="14"/>
          <w:szCs w:val="14"/>
          <w:color w:val="auto"/>
        </w:rPr>
      </w:pPr>
    </w:p>
    <w:p>
      <w:pPr>
        <w:ind w:left="700" w:hanging="313"/>
        <w:spacing w:after="0"/>
        <w:tabs>
          <w:tab w:leader="none" w:pos="7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Even if our product candidates receive regulatory approval, they will be subject to significant post-marketing regulatory requirements.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If we are unable to obtain or protect intellectual property rights, we may not be able to compete effectively in our market.</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may not be able to protect our intellectual property rights throughout the world.</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market price of our stock has been and may continue to be volatile, and you could lose all or part of your investment.</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Discovery and Development of Our Product Candidates</w:t>
      </w:r>
    </w:p>
    <w:p>
      <w:pPr>
        <w:spacing w:after="0" w:line="94" w:lineRule="exact"/>
        <w:rPr>
          <w:sz w:val="20"/>
          <w:szCs w:val="20"/>
          <w:color w:val="auto"/>
        </w:rPr>
      </w:pPr>
    </w:p>
    <w:p>
      <w:pPr>
        <w:jc w:val="both"/>
        <w:ind w:right="220"/>
        <w:spacing w:after="0" w:line="270" w:lineRule="auto"/>
        <w:rPr>
          <w:sz w:val="20"/>
          <w:szCs w:val="20"/>
          <w:color w:val="auto"/>
        </w:rPr>
      </w:pPr>
      <w:r>
        <w:rPr>
          <w:rFonts w:ascii="Arial" w:cs="Arial" w:eastAsia="Arial" w:hAnsi="Arial"/>
          <w:sz w:val="14"/>
          <w:szCs w:val="14"/>
          <w:b w:val="1"/>
          <w:bCs w:val="1"/>
          <w:color w:val="auto"/>
        </w:rPr>
        <w:t>Our product candidates are in early stages of development and may fail in development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spacing w:after="0" w:line="55" w:lineRule="exact"/>
        <w:rPr>
          <w:sz w:val="20"/>
          <w:szCs w:val="20"/>
          <w:color w:val="auto"/>
        </w:rPr>
      </w:pPr>
    </w:p>
    <w:p>
      <w:pPr>
        <w:ind w:right="40" w:firstLine="382"/>
        <w:spacing w:after="0" w:line="267" w:lineRule="auto"/>
        <w:rPr>
          <w:sz w:val="20"/>
          <w:szCs w:val="20"/>
          <w:color w:val="auto"/>
        </w:rPr>
      </w:pPr>
      <w:r>
        <w:rPr>
          <w:rFonts w:ascii="Arial" w:cs="Arial" w:eastAsia="Arial" w:hAnsi="Arial"/>
          <w:sz w:val="14"/>
          <w:szCs w:val="14"/>
          <w:color w:val="auto"/>
        </w:rPr>
        <w:t>We are using our proprietary technology platform to develop therapeutic antibodies, including our wholly-owned product candidates, as well as other programs that are being developed by our collaborators. However, all of our wholly-owned and most of partnered product candidates are in various stages of development, and, for a wide variety of reasons discussed below, may fail in development or suffer delays that adversely affect their commercial viability.</w:t>
      </w:r>
    </w:p>
    <w:p>
      <w:pPr>
        <w:spacing w:after="0" w:line="57" w:lineRule="exact"/>
        <w:rPr>
          <w:sz w:val="20"/>
          <w:szCs w:val="20"/>
          <w:color w:val="auto"/>
        </w:rPr>
      </w:pPr>
    </w:p>
    <w:p>
      <w:pPr>
        <w:ind w:right="140" w:firstLine="382"/>
        <w:spacing w:after="0" w:line="319" w:lineRule="auto"/>
        <w:rPr>
          <w:sz w:val="20"/>
          <w:szCs w:val="20"/>
          <w:color w:val="auto"/>
        </w:rPr>
      </w:pPr>
      <w:r>
        <w:rPr>
          <w:rFonts w:ascii="Arial" w:cs="Arial" w:eastAsia="Arial" w:hAnsi="Arial"/>
          <w:sz w:val="12"/>
          <w:szCs w:val="12"/>
          <w:color w:val="auto"/>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For example, results from our initial Phase 2a clinical trial of etokimab in moderate-to-severe atopic dermatitis patients were not representative of the results we experienced in our later etokimab moderate-to-severe atopic dermatitis Phase 2b clinical trial called “ATLAS” and we ultimately discontinued development of etokimab.</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7" w:right="339" w:bottom="1440" w:gutter="0" w:footer="0" w:header="0"/>
        </w:sectPr>
      </w:pPr>
    </w:p>
    <w:bookmarkStart w:id="39" w:name="page40"/>
    <w:bookmarkEnd w:id="39"/>
    <w:p>
      <w:pPr>
        <w:ind w:firstLine="382"/>
        <w:spacing w:after="0" w:line="284" w:lineRule="auto"/>
        <w:rPr>
          <w:sz w:val="20"/>
          <w:szCs w:val="20"/>
          <w:color w:val="auto"/>
        </w:rPr>
      </w:pPr>
      <w:r>
        <w:rPr>
          <w:rFonts w:ascii="Arial" w:cs="Arial" w:eastAsia="Arial" w:hAnsi="Arial"/>
          <w:sz w:val="13"/>
          <w:szCs w:val="13"/>
          <w:color w:val="auto"/>
        </w:rPr>
        <w:t>Furthermore, we may conduct clinical trials of a product candidate in multiple indications based on assumptions about the product candidate’s mechanism of action. However, it is possible that our assumptions regarding the effectiveness of a product candidate’s mechanism of action may be incorrect and that the product candidate may be ineffective in certain diseases or disorders. If this were the case, then the results from any clinical trials of a product candidate that we conduct are less likely to be positive. For example, we believed imsidolimab’s mechanism of action, the inhibition of IL-36R, provided the potential for imsidolimab to be effective for treatment of a range of dermatological inflammatory diseases. However, top-line data from clinical trials of imsidolimab in indications other than GPP did not demonstrate efficacy, and we do not currently plan to conduct further development of imsidolimab in indications other than GPP.</w:t>
      </w:r>
    </w:p>
    <w:p>
      <w:pPr>
        <w:spacing w:after="0" w:line="49" w:lineRule="exact"/>
        <w:rPr>
          <w:sz w:val="20"/>
          <w:szCs w:val="20"/>
          <w:color w:val="auto"/>
        </w:rPr>
      </w:pPr>
    </w:p>
    <w:p>
      <w:pPr>
        <w:ind w:right="60" w:firstLine="382"/>
        <w:spacing w:after="0" w:line="281" w:lineRule="auto"/>
        <w:rPr>
          <w:sz w:val="20"/>
          <w:szCs w:val="20"/>
          <w:color w:val="auto"/>
        </w:rPr>
      </w:pPr>
      <w:r>
        <w:rPr>
          <w:rFonts w:ascii="Arial" w:cs="Arial" w:eastAsia="Arial" w:hAnsi="Arial"/>
          <w:sz w:val="14"/>
          <w:szCs w:val="14"/>
          <w:color w:val="auto"/>
        </w:rPr>
        <w:t>If our other ongoing or future clinical trials of any of our product candidates, including rosnilimab, ANB032 or imsidolimab, are unsuccessful, whether for one of the reasons mentioned above or otherwise, our product candidates may be delayed in development or fail entirely, which would have a material adverse impact on our business.</w:t>
      </w:r>
    </w:p>
    <w:p>
      <w:pPr>
        <w:spacing w:after="0" w:line="4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success of our current product candidates, and any other product candidates we may develop in the future, will depend on many factors, including the following:</w:t>
      </w:r>
    </w:p>
    <w:p>
      <w:pPr>
        <w:spacing w:after="0" w:line="94" w:lineRule="exact"/>
        <w:rPr>
          <w:sz w:val="20"/>
          <w:szCs w:val="20"/>
          <w:color w:val="auto"/>
        </w:rPr>
      </w:pPr>
    </w:p>
    <w:p>
      <w:pPr>
        <w:ind w:left="700" w:hanging="313"/>
        <w:spacing w:after="0"/>
        <w:tabs>
          <w:tab w:leader="none" w:pos="7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obtaining regulatory permission to initiate clinical trials;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successful enrollment of patients in, and the completion of, our planned clinical trials;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receiving marketing approvals from applicable regulatory authorities;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establishing commercial manufacturing capabilities and/or making arrangements with third-party manufacturers;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obtaining and maintaining patent and trade secret protection and non-patent exclusivity for our product candidates and their components;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enforcing and defending intellectual property rights and claims;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achieving desirable therapeutic properties for our product candidates’ intended indications;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launching commercial sales of our product candidates, if and when approved, whether alone or in collaboration with third parties;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acceptance of our product candidates, if and when approved, by patients, the medical community and third-party payors;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effectively competing with other therapies; and</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maintaining an acceptable safety profile of our product candidates through clinical trials and following regulatory approval.</w:t>
      </w:r>
    </w:p>
    <w:p>
      <w:pPr>
        <w:spacing w:after="0" w:line="94" w:lineRule="exact"/>
        <w:rPr>
          <w:sz w:val="20"/>
          <w:szCs w:val="20"/>
          <w:color w:val="auto"/>
        </w:rPr>
      </w:pPr>
    </w:p>
    <w:p>
      <w:pPr>
        <w:ind w:right="340" w:firstLine="382"/>
        <w:spacing w:after="0" w:line="281" w:lineRule="auto"/>
        <w:rPr>
          <w:sz w:val="20"/>
          <w:szCs w:val="20"/>
          <w:color w:val="auto"/>
        </w:rPr>
      </w:pPr>
      <w:r>
        <w:rPr>
          <w:rFonts w:ascii="Arial" w:cs="Arial" w:eastAsia="Arial" w:hAnsi="Arial"/>
          <w:sz w:val="14"/>
          <w:szCs w:val="14"/>
          <w:color w:val="auto"/>
        </w:rPr>
        <w:t>If we do not achieve one or more of these factors in a timely manner or at all, we could experience significant delays or an inability to successfully commercialize our product candidates, which would harm our business.</w:t>
      </w:r>
    </w:p>
    <w:p>
      <w:pPr>
        <w:spacing w:after="0" w:line="47" w:lineRule="exact"/>
        <w:rPr>
          <w:sz w:val="20"/>
          <w:szCs w:val="20"/>
          <w:color w:val="auto"/>
        </w:rPr>
      </w:pPr>
    </w:p>
    <w:p>
      <w:pPr>
        <w:ind w:right="60" w:firstLine="382"/>
        <w:spacing w:after="0" w:line="257" w:lineRule="auto"/>
        <w:rPr>
          <w:sz w:val="20"/>
          <w:szCs w:val="20"/>
          <w:color w:val="auto"/>
        </w:rPr>
      </w:pPr>
      <w:r>
        <w:rPr>
          <w:rFonts w:ascii="Arial" w:cs="Arial" w:eastAsia="Arial" w:hAnsi="Arial"/>
          <w:sz w:val="14"/>
          <w:szCs w:val="14"/>
          <w:color w:val="auto"/>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FDA or foreign regulatory authorities. More specifically, some of our product candidates, including imsidolimab, initially target indications that are very rare, which can prolong the clinical trial timeline for the regulatory process if sufficient patients cannot be enrolled in a timely manner. We recently discontinued imsidolimab clinical development for EGFR-mediated skin toxicities due, in part, to slower than anticipated enrollment in planned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7" w:right="339" w:bottom="1440" w:gutter="0" w:footer="0" w:header="0"/>
        </w:sectPr>
      </w:pPr>
    </w:p>
    <w:bookmarkStart w:id="40" w:name="page41"/>
    <w:bookmarkEnd w:id="40"/>
    <w:p>
      <w:pPr>
        <w:ind w:right="120"/>
        <w:spacing w:after="0" w:line="372" w:lineRule="auto"/>
        <w:rPr>
          <w:sz w:val="20"/>
          <w:szCs w:val="20"/>
          <w:color w:val="auto"/>
        </w:rPr>
      </w:pPr>
      <w:r>
        <w:rPr>
          <w:rFonts w:ascii="Arial" w:cs="Arial" w:eastAsia="Arial" w:hAnsi="Arial"/>
          <w:sz w:val="12"/>
          <w:szCs w:val="12"/>
          <w:b w:val="1"/>
          <w:bCs w:val="1"/>
          <w:color w:val="auto"/>
        </w:rPr>
        <w:t>We have only limited data regarding the safety profile of our product candidates when dosed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1" w:lineRule="exact"/>
        <w:rPr>
          <w:sz w:val="20"/>
          <w:szCs w:val="20"/>
          <w:color w:val="auto"/>
        </w:rPr>
      </w:pPr>
    </w:p>
    <w:p>
      <w:pPr>
        <w:ind w:right="20" w:firstLine="382"/>
        <w:spacing w:after="0" w:line="262" w:lineRule="auto"/>
        <w:rPr>
          <w:sz w:val="20"/>
          <w:szCs w:val="20"/>
          <w:color w:val="auto"/>
        </w:rPr>
      </w:pPr>
      <w:r>
        <w:rPr>
          <w:rFonts w:ascii="Arial" w:cs="Arial" w:eastAsia="Arial" w:hAnsi="Arial"/>
          <w:sz w:val="14"/>
          <w:szCs w:val="14"/>
          <w:color w:val="auto"/>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61" w:lineRule="exact"/>
        <w:rPr>
          <w:sz w:val="20"/>
          <w:szCs w:val="20"/>
          <w:color w:val="auto"/>
        </w:rPr>
      </w:pPr>
    </w:p>
    <w:p>
      <w:pPr>
        <w:ind w:firstLine="382"/>
        <w:spacing w:after="0" w:line="307" w:lineRule="auto"/>
        <w:rPr>
          <w:sz w:val="20"/>
          <w:szCs w:val="20"/>
          <w:color w:val="auto"/>
        </w:rPr>
      </w:pPr>
      <w:r>
        <w:rPr>
          <w:rFonts w:ascii="Arial" w:cs="Arial" w:eastAsia="Arial" w:hAnsi="Arial"/>
          <w:sz w:val="12"/>
          <w:szCs w:val="12"/>
          <w:color w:val="auto"/>
        </w:rPr>
        <w:t>We have conducted various preclinical studies of our product candidates, but we do not know the predictive value of these studies for humans, and we cannot guarantee that any positive results in preclinical studies will successfully translate to human patients. We have only completed Phase 1 and Phase 2 clinical trials with imsidolimab, and subsequent clinical trials with imsidolimab and other clinical trials with rosnilimab and ANB032 are currently ongoing. It is not uncommon to observe results in human clinical trials that are unexpected based on preclinical testing, or to observe results in later stage clinical trials that are unexpected based on early clinical trials. Many product candidates fail in clinical trials despite promising preclinical and early clinical results. In addition, top-line results of a clinical trial, which generally reflect preliminary reviews of primary efficacy and/or safety results, do not necessarily predict final results, and any top-line findings or assessments are subject to change pending the completion of final data review procedures.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w:t>
      </w:r>
    </w:p>
    <w:p>
      <w:pPr>
        <w:spacing w:after="0" w:line="38" w:lineRule="exact"/>
        <w:rPr>
          <w:sz w:val="20"/>
          <w:szCs w:val="20"/>
          <w:color w:val="auto"/>
        </w:rPr>
      </w:pPr>
    </w:p>
    <w:p>
      <w:pPr>
        <w:ind w:right="60" w:firstLine="382"/>
        <w:spacing w:after="0" w:line="277" w:lineRule="auto"/>
        <w:rPr>
          <w:sz w:val="20"/>
          <w:szCs w:val="20"/>
          <w:color w:val="auto"/>
        </w:rPr>
      </w:pPr>
      <w:r>
        <w:rPr>
          <w:rFonts w:ascii="Arial" w:cs="Arial" w:eastAsia="Arial" w:hAnsi="Arial"/>
          <w:sz w:val="13"/>
          <w:szCs w:val="13"/>
          <w:color w:val="auto"/>
        </w:rPr>
        <w:t>Some patients in our clinical trials have experienced adverse events, including serious adverse events. We reported that one patient dropped out of the GALLOP Phase 2 clinical trial for imsidolimab due to diagnosis with Staphylococcal aureus bacteremia on Day 3 post-imsidolimab administration, which was a serious adverse event deemed to be possibly drug-related. Subjects in our ongoing and planned clinical trials may in the future suffer significant adverse events or other side effects not observed in our preclinical studies or in our Phase 1 or Phase 2 clinical trials.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If preclinical studies of our product candidates fail to provide preliminary evidence of safety to the satisfaction of regulatory authorities or do not otherwise produce satisfactory results, we may incur additional costs or experience delays in initiating and/or advancing the development and commercialization of our product candidates. Further, if clinical trials of our product candidates fail to demonstrate safety and efficacy to the satisfaction of regulatory authorities or do not otherwise produce positive results, we or our collaborators may incur additional costs or experience delays in completing, or ultimately be unable to complete, the development and commercialization of our product candidates.</w:t>
      </w:r>
    </w:p>
    <w:p>
      <w:pPr>
        <w:spacing w:after="0" w:line="57" w:lineRule="exact"/>
        <w:rPr>
          <w:sz w:val="20"/>
          <w:szCs w:val="20"/>
          <w:color w:val="auto"/>
        </w:rPr>
      </w:pPr>
    </w:p>
    <w:p>
      <w:pPr>
        <w:ind w:right="60" w:firstLine="382"/>
        <w:spacing w:after="0" w:line="257" w:lineRule="auto"/>
        <w:rPr>
          <w:sz w:val="20"/>
          <w:szCs w:val="20"/>
          <w:color w:val="auto"/>
        </w:rPr>
      </w:pPr>
      <w:r>
        <w:rPr>
          <w:rFonts w:ascii="Arial" w:cs="Arial" w:eastAsia="Arial" w:hAnsi="Arial"/>
          <w:sz w:val="14"/>
          <w:szCs w:val="14"/>
          <w:color w:val="auto"/>
        </w:rPr>
        <w:t>If further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ethics committee,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a product candidate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spacing w:after="0" w:line="66" w:lineRule="exact"/>
        <w:rPr>
          <w:sz w:val="20"/>
          <w:szCs w:val="20"/>
          <w:color w:val="auto"/>
        </w:rPr>
      </w:pPr>
    </w:p>
    <w:p>
      <w:pPr>
        <w:ind w:firstLine="382"/>
        <w:spacing w:after="0" w:line="297" w:lineRule="auto"/>
        <w:rPr>
          <w:sz w:val="20"/>
          <w:szCs w:val="20"/>
          <w:color w:val="auto"/>
        </w:rPr>
      </w:pPr>
      <w:r>
        <w:rPr>
          <w:rFonts w:ascii="Arial" w:cs="Arial" w:eastAsia="Arial" w:hAnsi="Arial"/>
          <w:sz w:val="13"/>
          <w:szCs w:val="13"/>
          <w:color w:val="auto"/>
        </w:rPr>
        <w:t>Further, if any of our product candidates obtain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98" w:right="339" w:bottom="1440" w:gutter="0" w:footer="0" w:header="0"/>
        </w:sectPr>
      </w:pPr>
    </w:p>
    <w:bookmarkStart w:id="41" w:name="page42"/>
    <w:bookmarkEnd w:id="41"/>
    <w:p>
      <w:pPr>
        <w:ind w:right="620"/>
        <w:spacing w:after="0" w:line="287" w:lineRule="auto"/>
        <w:rPr>
          <w:sz w:val="20"/>
          <w:szCs w:val="20"/>
          <w:color w:val="auto"/>
        </w:rPr>
      </w:pPr>
      <w:r>
        <w:rPr>
          <w:rFonts w:ascii="Arial" w:cs="Arial" w:eastAsia="Arial" w:hAnsi="Arial"/>
          <w:sz w:val="14"/>
          <w:szCs w:val="14"/>
          <w:b w:val="1"/>
          <w:bCs w:val="1"/>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43" w:lineRule="exact"/>
        <w:rPr>
          <w:sz w:val="20"/>
          <w:szCs w:val="20"/>
          <w:color w:val="auto"/>
        </w:rPr>
      </w:pPr>
    </w:p>
    <w:p>
      <w:pPr>
        <w:ind w:right="80" w:firstLine="382"/>
        <w:spacing w:after="0" w:line="277" w:lineRule="auto"/>
        <w:rPr>
          <w:sz w:val="20"/>
          <w:szCs w:val="20"/>
          <w:color w:val="auto"/>
        </w:rPr>
      </w:pPr>
      <w:r>
        <w:rPr>
          <w:rFonts w:ascii="Arial" w:cs="Arial" w:eastAsia="Arial" w:hAnsi="Arial"/>
          <w:sz w:val="13"/>
          <w:szCs w:val="13"/>
          <w:color w:val="auto"/>
        </w:rPr>
        <w:t>Our ability to continue to develop our product candidates, and to have the potential to achieve and sustain profitability, depends on the FDA and foreign regulatory authorities permitting us to conduct human clinical trials and, if our product candidates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Though we have cleared an IND and clinical trial application (“CTA”) to conduct clinical trials for imsidolimab in the United States and certain foreign jurisdictions, we have cleared an IND to conduct a clinical trial for rosnilimab in the United States and we have cleared a CTA to conduct a clinical trial for ANB032 in Australia, before commencing clinical trials in the United States for ANB032 or any other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spacing w:after="0" w:line="57" w:lineRule="exact"/>
        <w:rPr>
          <w:sz w:val="20"/>
          <w:szCs w:val="20"/>
          <w:color w:val="auto"/>
        </w:rPr>
      </w:pPr>
    </w:p>
    <w:p>
      <w:pPr>
        <w:ind w:firstLine="382"/>
        <w:spacing w:after="0" w:line="278" w:lineRule="auto"/>
        <w:rPr>
          <w:sz w:val="20"/>
          <w:szCs w:val="20"/>
          <w:color w:val="auto"/>
        </w:rPr>
      </w:pPr>
      <w:r>
        <w:rPr>
          <w:rFonts w:ascii="Arial" w:cs="Arial" w:eastAsia="Arial" w:hAnsi="Arial"/>
          <w:sz w:val="13"/>
          <w:szCs w:val="13"/>
          <w:color w:val="auto"/>
        </w:rPr>
        <w:t>Even if we or our collaborators initiate and complete clinical trials for our product candidates, these product candidates will not be permitted to be marketed in the United States until approval of a BLA from the FDA is received, and will not be permitted to be marketed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submitting and receiving acceptance for initiation of our previous and current clinical trials in the United States and certain foreign jurisdictions, we have had only limited discussions with the FDA and no discussions with foreign regulatory authorities regarding the development plans for any of our product candidates or the designs of any of our later-stage clinical studies. We thus may not have the full benefit of the FDA’s or foreign regulatory authorities’ current thinking on clinical trial designs or product development for our target indications. For example, we believe our planned Phase 3 trials for imsidolimab for GPP, GEMINI-1 and GEMINI-2, with GEMINI-1 enrolling approximately 45 moderate-to-severe GPP patients, will be sufficient to demonstrate substantial evidence of efficacy and safety of imsidolimab in GPP patients and obtain BLA approval, and we discussed these plans with the FDA in an end-of-Phase 2 meeting, during the second quarter of 2021. However, the FDA may determine, based on future clinical efficacy and safety data from our GPP studies, that we will need additional clinical trials in order to obtain approval of a BLA.</w:t>
      </w:r>
    </w:p>
    <w:p>
      <w:pPr>
        <w:spacing w:after="0" w:line="54" w:lineRule="exact"/>
        <w:rPr>
          <w:sz w:val="20"/>
          <w:szCs w:val="20"/>
          <w:color w:val="auto"/>
        </w:rPr>
      </w:pPr>
    </w:p>
    <w:p>
      <w:pPr>
        <w:ind w:right="40" w:firstLine="382"/>
        <w:spacing w:after="0" w:line="267" w:lineRule="auto"/>
        <w:rPr>
          <w:sz w:val="20"/>
          <w:szCs w:val="20"/>
          <w:color w:val="auto"/>
        </w:rPr>
      </w:pPr>
      <w:r>
        <w:rPr>
          <w:rFonts w:ascii="Arial" w:cs="Arial" w:eastAsia="Arial" w:hAnsi="Arial"/>
          <w:sz w:val="14"/>
          <w:szCs w:val="14"/>
          <w:color w:val="auto"/>
        </w:rPr>
        <w:t>Preclinical studies and clinical trials are expensive, difficult to design and implement, can take many years to complete, and are uncertain as to outcome. Product candidates, on average, take 10 to 15 years to be developed from the time they are discovered to the time they are approved and available for treating patients. The start or end of a clinical trial is often delayed or halted for many reasons, including:</w:t>
      </w:r>
    </w:p>
    <w:p>
      <w:pPr>
        <w:spacing w:after="0" w:line="57" w:lineRule="exact"/>
        <w:rPr>
          <w:sz w:val="20"/>
          <w:szCs w:val="20"/>
          <w:color w:val="auto"/>
        </w:rPr>
      </w:pPr>
    </w:p>
    <w:p>
      <w:pPr>
        <w:ind w:left="700" w:hanging="313"/>
        <w:spacing w:after="0"/>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imposition of a clinical hold for safety reasons or following an inspection of clinical trial operations or site by the FDA or other regulatory authorities;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manufacturing challenges;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insufficient supply or quality of product candidates or other materials necessary to conduct clinical trials;</w:t>
      </w:r>
    </w:p>
    <w:p>
      <w:pPr>
        <w:spacing w:after="0" w:line="93" w:lineRule="exact"/>
        <w:rPr>
          <w:rFonts w:ascii="Arial" w:cs="Arial" w:eastAsia="Arial" w:hAnsi="Arial"/>
          <w:sz w:val="14"/>
          <w:szCs w:val="14"/>
          <w:color w:val="auto"/>
        </w:rPr>
      </w:pPr>
    </w:p>
    <w:p>
      <w:pPr>
        <w:ind w:left="700" w:right="80" w:hanging="313"/>
        <w:spacing w:after="0" w:line="281" w:lineRule="auto"/>
        <w:tabs>
          <w:tab w:leader="none" w:pos="696" w:val="left"/>
        </w:tabs>
        <w:numPr>
          <w:ilvl w:val="0"/>
          <w:numId w:val="18"/>
        </w:numPr>
        <w:rPr>
          <w:rFonts w:ascii="Arial" w:cs="Arial" w:eastAsia="Arial" w:hAnsi="Arial"/>
          <w:sz w:val="14"/>
          <w:szCs w:val="14"/>
          <w:color w:val="auto"/>
        </w:rPr>
      </w:pPr>
      <w:r>
        <w:rPr>
          <w:rFonts w:ascii="Arial" w:cs="Arial" w:eastAsia="Arial" w:hAnsi="Arial"/>
          <w:sz w:val="14"/>
          <w:szCs w:val="14"/>
          <w:color w:val="auto"/>
        </w:rPr>
        <w:t>delays in reaching or failure to reach agreement on acceptable clinical trial contracts or clinical trial protocols with prospective trial sites and CROs or failure by such CROs or trials sites to carry out the clinical trial in accordance with our agreed-upon terms;</w:t>
      </w:r>
    </w:p>
    <w:p>
      <w:pPr>
        <w:spacing w:after="0" w:line="47" w:lineRule="exact"/>
        <w:rPr>
          <w:rFonts w:ascii="Arial" w:cs="Arial" w:eastAsia="Arial" w:hAnsi="Arial"/>
          <w:sz w:val="14"/>
          <w:szCs w:val="14"/>
          <w:color w:val="auto"/>
        </w:rPr>
      </w:pPr>
    </w:p>
    <w:p>
      <w:pPr>
        <w:ind w:left="700" w:hanging="313"/>
        <w:spacing w:after="0"/>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non-clinical or clinical sites becoming unavailable due to political, economic, or public health events, such as the COVID-19 pandemic;</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clinical sites electing to terminate their participation in one of our clinical trials;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inability or unwillingness of patients or medical investigators to follow clinical trial protocols;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required clinical trial administrative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8" w:right="319" w:bottom="1440" w:gutter="0" w:footer="0" w:header="0"/>
        </w:sectPr>
      </w:pPr>
    </w:p>
    <w:bookmarkStart w:id="42" w:name="page43"/>
    <w:bookmarkEnd w:id="42"/>
    <w:p>
      <w:pPr>
        <w:ind w:left="700" w:hanging="313"/>
        <w:spacing w:after="0"/>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slower than anticipated patient enrollment;</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changing standards of care;</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safety concerns;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availability or prevalence of use of a comparative drug or required prior therapy; or</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clinical outcomes or financial constraints.</w:t>
      </w:r>
    </w:p>
    <w:p>
      <w:pPr>
        <w:spacing w:after="0" w:line="94" w:lineRule="exact"/>
        <w:rPr>
          <w:sz w:val="20"/>
          <w:szCs w:val="20"/>
          <w:color w:val="auto"/>
        </w:rPr>
      </w:pPr>
    </w:p>
    <w:p>
      <w:pPr>
        <w:ind w:firstLine="382"/>
        <w:spacing w:after="0" w:line="258" w:lineRule="auto"/>
        <w:rPr>
          <w:sz w:val="20"/>
          <w:szCs w:val="20"/>
          <w:color w:val="auto"/>
        </w:rPr>
      </w:pPr>
      <w:r>
        <w:rPr>
          <w:rFonts w:ascii="Arial" w:cs="Arial" w:eastAsia="Arial" w:hAnsi="Arial"/>
          <w:sz w:val="14"/>
          <w:szCs w:val="14"/>
          <w:color w:val="auto"/>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6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If we or our collaborators experience any of the issues described above, or other similar or related issues, we or our collaborators may:</w:t>
      </w:r>
    </w:p>
    <w:p>
      <w:pPr>
        <w:spacing w:after="0" w:line="94" w:lineRule="exact"/>
        <w:rPr>
          <w:sz w:val="20"/>
          <w:szCs w:val="20"/>
          <w:color w:val="auto"/>
        </w:rPr>
      </w:pPr>
    </w:p>
    <w:p>
      <w:pPr>
        <w:ind w:left="700" w:hanging="313"/>
        <w:spacing w:after="0"/>
        <w:tabs>
          <w:tab w:leader="none" w:pos="7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be delayed in obtaining marketing approval for our product candidates;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not obtain marketing approval at all;</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obtain marketing approval in some countries and not in others;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obtain approval for indications or patient populations that are not as broad as intended or desired;</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obtain approval with labeling that includes significant use or distribution restrictions or safety warnings, including boxed warnings;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be subject to additional post-marketing testing requirements; or</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have the product removed from the market after obtaining marketing approval.</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not be successful in our efforts to use our technology platform to expand our pipeline of product candidates and develop marketable products.</w:t>
      </w:r>
    </w:p>
    <w:p>
      <w:pPr>
        <w:spacing w:after="0" w:line="98" w:lineRule="exact"/>
        <w:rPr>
          <w:sz w:val="20"/>
          <w:szCs w:val="20"/>
          <w:color w:val="auto"/>
        </w:rPr>
      </w:pPr>
    </w:p>
    <w:p>
      <w:pPr>
        <w:ind w:right="20" w:firstLine="382"/>
        <w:spacing w:after="0" w:line="257" w:lineRule="auto"/>
        <w:rPr>
          <w:sz w:val="20"/>
          <w:szCs w:val="20"/>
          <w:color w:val="auto"/>
        </w:rPr>
      </w:pPr>
      <w:r>
        <w:rPr>
          <w:rFonts w:ascii="Arial" w:cs="Arial" w:eastAsia="Arial" w:hAnsi="Arial"/>
          <w:sz w:val="14"/>
          <w:szCs w:val="14"/>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and early-stage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validate our technology platform by successfully developing and commercializing product candidates based upon our technological approach, we may not be able to obtain product or partnership revenue in future periods, which would adversely affect our business, prospects, financial condition and results of operations.</w:t>
      </w:r>
    </w:p>
    <w:p>
      <w:pPr>
        <w:spacing w:after="0" w:line="64" w:lineRule="exact"/>
        <w:rPr>
          <w:sz w:val="20"/>
          <w:szCs w:val="20"/>
          <w:color w:val="auto"/>
        </w:rPr>
      </w:pPr>
    </w:p>
    <w:p>
      <w:pPr>
        <w:ind w:right="20" w:firstLine="382"/>
        <w:spacing w:after="0" w:line="260" w:lineRule="auto"/>
        <w:rPr>
          <w:sz w:val="20"/>
          <w:szCs w:val="20"/>
          <w:color w:val="auto"/>
        </w:rPr>
      </w:pPr>
      <w:r>
        <w:rPr>
          <w:rFonts w:ascii="Arial" w:cs="Arial" w:eastAsia="Arial" w:hAnsi="Arial"/>
          <w:sz w:val="14"/>
          <w:szCs w:val="14"/>
          <w:color w:val="auto"/>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43" w:name="page44"/>
    <w:bookmarkEnd w:id="43"/>
    <w:p>
      <w:pPr>
        <w:ind w:right="560"/>
        <w:spacing w:after="0" w:line="281" w:lineRule="auto"/>
        <w:rPr>
          <w:sz w:val="20"/>
          <w:szCs w:val="20"/>
          <w:color w:val="auto"/>
        </w:rPr>
      </w:pPr>
      <w:r>
        <w:rPr>
          <w:rFonts w:ascii="Arial" w:cs="Arial" w:eastAsia="Arial" w:hAnsi="Arial"/>
          <w:sz w:val="14"/>
          <w:szCs w:val="14"/>
          <w:color w:val="auto"/>
        </w:rPr>
        <w:t>rights to that product candidate through collaboration, licensing or other royalty arrangements in cases in which it would have been more advantageous for us to retain sole development and commercialization rights.</w:t>
      </w:r>
    </w:p>
    <w:p>
      <w:pPr>
        <w:spacing w:after="0" w:line="128" w:lineRule="exact"/>
        <w:rPr>
          <w:sz w:val="20"/>
          <w:szCs w:val="20"/>
          <w:color w:val="auto"/>
        </w:rPr>
      </w:pPr>
    </w:p>
    <w:p>
      <w:pPr>
        <w:spacing w:after="0" w:line="287" w:lineRule="auto"/>
        <w:rPr>
          <w:sz w:val="20"/>
          <w:szCs w:val="20"/>
          <w:color w:val="auto"/>
        </w:rPr>
      </w:pPr>
      <w:r>
        <w:rPr>
          <w:rFonts w:ascii="Arial" w:cs="Arial" w:eastAsia="Arial" w:hAnsi="Arial"/>
          <w:sz w:val="14"/>
          <w:szCs w:val="14"/>
          <w:b w:val="1"/>
          <w:bCs w:val="1"/>
          <w:color w:val="auto"/>
        </w:rPr>
        <w:t>We have recently commenced clinical development of rosnilimab, ANB032 and imsidolimab and have no history of commercializing biotechnology products, which may make it difficult to evaluate the prospects for our future viability.</w:t>
      </w:r>
    </w:p>
    <w:p>
      <w:pPr>
        <w:spacing w:after="0" w:line="43" w:lineRule="exact"/>
        <w:rPr>
          <w:sz w:val="20"/>
          <w:szCs w:val="20"/>
          <w:color w:val="auto"/>
        </w:rPr>
      </w:pPr>
    </w:p>
    <w:p>
      <w:pPr>
        <w:ind w:right="20" w:firstLine="382"/>
        <w:spacing w:after="0" w:line="282" w:lineRule="auto"/>
        <w:rPr>
          <w:sz w:val="20"/>
          <w:szCs w:val="20"/>
          <w:color w:val="auto"/>
        </w:rPr>
      </w:pPr>
      <w:r>
        <w:rPr>
          <w:rFonts w:ascii="Arial" w:cs="Arial" w:eastAsia="Arial" w:hAnsi="Arial"/>
          <w:sz w:val="13"/>
          <w:szCs w:val="13"/>
          <w:color w:val="auto"/>
        </w:rPr>
        <w:t>Our operations to date have been largely limited to financing and staffing our company, developing our technology, and developing our wholly-owned product candidates and other product candidates in partnerships with our collaborators. As a company, we have only very limited experience conducting pivotal Phase 3 clinical trials and have not had previous experience commercializing product candidates, including submitting a BLA to the FDA.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wholly-owned product candidates will require significant additional financial and management resources, and reliance on third-party clinical investigators, CROs, consultants or collaborators. Relying on third-party clinical investigators, CROs or collaborators may result in delays that are outside of our control.</w:t>
      </w:r>
    </w:p>
    <w:p>
      <w:pPr>
        <w:spacing w:after="0" w:line="49" w:lineRule="exact"/>
        <w:rPr>
          <w:sz w:val="20"/>
          <w:szCs w:val="20"/>
          <w:color w:val="auto"/>
        </w:rPr>
      </w:pPr>
    </w:p>
    <w:p>
      <w:pPr>
        <w:ind w:right="220" w:firstLine="382"/>
        <w:spacing w:after="0" w:line="281" w:lineRule="auto"/>
        <w:rPr>
          <w:sz w:val="20"/>
          <w:szCs w:val="20"/>
          <w:color w:val="auto"/>
        </w:rPr>
      </w:pPr>
      <w:r>
        <w:rPr>
          <w:rFonts w:ascii="Arial" w:cs="Arial" w:eastAsia="Arial" w:hAnsi="Arial"/>
          <w:sz w:val="14"/>
          <w:szCs w:val="14"/>
          <w:color w:val="auto"/>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spacing w:after="0" w:line="47" w:lineRule="exact"/>
        <w:rPr>
          <w:sz w:val="20"/>
          <w:szCs w:val="20"/>
          <w:color w:val="auto"/>
        </w:rPr>
      </w:pPr>
    </w:p>
    <w:p>
      <w:pPr>
        <w:ind w:left="700" w:right="320" w:hanging="313"/>
        <w:spacing w:after="0" w:line="281" w:lineRule="auto"/>
        <w:tabs>
          <w:tab w:leader="none" w:pos="696" w:val="left"/>
        </w:tabs>
        <w:numPr>
          <w:ilvl w:val="0"/>
          <w:numId w:val="21"/>
        </w:numPr>
        <w:rPr>
          <w:rFonts w:ascii="Arial" w:cs="Arial" w:eastAsia="Arial" w:hAnsi="Arial"/>
          <w:sz w:val="14"/>
          <w:szCs w:val="14"/>
          <w:color w:val="auto"/>
        </w:rPr>
      </w:pPr>
      <w:r>
        <w:rPr>
          <w:rFonts w:ascii="Arial" w:cs="Arial" w:eastAsia="Arial" w:hAnsi="Arial"/>
          <w:sz w:val="14"/>
          <w:szCs w:val="14"/>
          <w:color w:val="auto"/>
        </w:rPr>
        <w:t>negative or inconclusive results from our clinical trials or the clinical trials of others for product candidates similar to ours, leading to a decision or requirement to conduct additional preclinical testing or clinical trials or abandon a program;</w:t>
      </w:r>
    </w:p>
    <w:p>
      <w:pPr>
        <w:spacing w:after="0" w:line="47" w:lineRule="exact"/>
        <w:rPr>
          <w:rFonts w:ascii="Arial" w:cs="Arial" w:eastAsia="Arial" w:hAnsi="Arial"/>
          <w:sz w:val="14"/>
          <w:szCs w:val="14"/>
          <w:color w:val="auto"/>
        </w:rPr>
      </w:pPr>
    </w:p>
    <w:p>
      <w:pPr>
        <w:ind w:left="700" w:right="240" w:hanging="313"/>
        <w:spacing w:after="0" w:line="281" w:lineRule="auto"/>
        <w:tabs>
          <w:tab w:leader="none" w:pos="696" w:val="left"/>
        </w:tabs>
        <w:numPr>
          <w:ilvl w:val="0"/>
          <w:numId w:val="21"/>
        </w:numPr>
        <w:rPr>
          <w:rFonts w:ascii="Arial" w:cs="Arial" w:eastAsia="Arial" w:hAnsi="Arial"/>
          <w:sz w:val="14"/>
          <w:szCs w:val="14"/>
          <w:color w:val="auto"/>
        </w:rPr>
      </w:pPr>
      <w:r>
        <w:rPr>
          <w:rFonts w:ascii="Arial" w:cs="Arial" w:eastAsia="Arial" w:hAnsi="Arial"/>
          <w:sz w:val="14"/>
          <w:szCs w:val="14"/>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47" w:lineRule="exact"/>
        <w:rPr>
          <w:rFonts w:ascii="Arial" w:cs="Arial" w:eastAsia="Arial" w:hAnsi="Arial"/>
          <w:sz w:val="14"/>
          <w:szCs w:val="14"/>
          <w:color w:val="auto"/>
        </w:rPr>
      </w:pPr>
    </w:p>
    <w:p>
      <w:pPr>
        <w:ind w:left="700" w:hanging="313"/>
        <w:spacing w:after="0"/>
        <w:tabs>
          <w:tab w:leader="none" w:pos="7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conditions imposed by the FDA or foreign regulatory authorities regarding the number, scope or design of our clinical trials;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delays in enrolling research subjects in clinical trials;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high drop-out rates of research subjects;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inadequate supply or quality of clinical trial materials or other supplies necessary for the conduct of our clinical trials;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greater than anticipated clinical trial costs;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poor effectiveness or unacceptable side effects of our product candidates during clinical trials;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unfavorable FDA or other regulatory agency inspection and review of a clinical trial site;</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failure of our third-party contractors or investigators to comply with regulatory requirements or otherwise meet their contractual obligations in a timely manner, or at all;</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serious and unexpected drug-related side effects experienced by participants in our planned clinical trials or by individuals using drugs similar to our product candidates;</w:t>
      </w:r>
    </w:p>
    <w:p>
      <w:pPr>
        <w:spacing w:after="0" w:line="93" w:lineRule="exact"/>
        <w:rPr>
          <w:rFonts w:ascii="Arial" w:cs="Arial" w:eastAsia="Arial" w:hAnsi="Arial"/>
          <w:sz w:val="14"/>
          <w:szCs w:val="14"/>
          <w:color w:val="auto"/>
        </w:rPr>
      </w:pPr>
    </w:p>
    <w:p>
      <w:pPr>
        <w:ind w:left="700" w:right="160" w:hanging="313"/>
        <w:spacing w:after="0" w:line="281" w:lineRule="auto"/>
        <w:tabs>
          <w:tab w:leader="none" w:pos="696" w:val="left"/>
        </w:tabs>
        <w:numPr>
          <w:ilvl w:val="0"/>
          <w:numId w:val="21"/>
        </w:numPr>
        <w:rPr>
          <w:rFonts w:ascii="Arial" w:cs="Arial" w:eastAsia="Arial" w:hAnsi="Arial"/>
          <w:sz w:val="14"/>
          <w:szCs w:val="14"/>
          <w:color w:val="auto"/>
        </w:rPr>
      </w:pPr>
      <w:r>
        <w:rPr>
          <w:rFonts w:ascii="Arial" w:cs="Arial" w:eastAsia="Arial" w:hAnsi="Arial"/>
          <w:sz w:val="14"/>
          <w:szCs w:val="14"/>
          <w:color w:val="auto"/>
        </w:rPr>
        <w:t>delays and changes in regulatory requirements, policy and guidelines, including the imposition of additional regulatory oversight around clinical testing generally or with respect to our technology in particular; or</w:t>
      </w:r>
    </w:p>
    <w:p>
      <w:pPr>
        <w:spacing w:after="0" w:line="47" w:lineRule="exact"/>
        <w:rPr>
          <w:rFonts w:ascii="Arial" w:cs="Arial" w:eastAsia="Arial" w:hAnsi="Arial"/>
          <w:sz w:val="14"/>
          <w:szCs w:val="14"/>
          <w:color w:val="auto"/>
        </w:rPr>
      </w:pPr>
    </w:p>
    <w:p>
      <w:pPr>
        <w:ind w:left="700" w:hanging="313"/>
        <w:spacing w:after="0"/>
        <w:tabs>
          <w:tab w:leader="none" w:pos="7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varying interpretations of data by the FDA and foreign regulatory authorities.</w:t>
      </w:r>
    </w:p>
    <w:p>
      <w:pPr>
        <w:spacing w:after="0" w:line="94" w:lineRule="exact"/>
        <w:rPr>
          <w:sz w:val="20"/>
          <w:szCs w:val="20"/>
          <w:color w:val="auto"/>
        </w:rPr>
      </w:pPr>
    </w:p>
    <w:p>
      <w:pPr>
        <w:ind w:right="120" w:firstLine="382"/>
        <w:spacing w:after="0" w:line="281" w:lineRule="auto"/>
        <w:rPr>
          <w:sz w:val="20"/>
          <w:szCs w:val="20"/>
          <w:color w:val="auto"/>
        </w:rPr>
      </w:pPr>
      <w:r>
        <w:rPr>
          <w:rFonts w:ascii="Arial" w:cs="Arial" w:eastAsia="Arial" w:hAnsi="Arial"/>
          <w:sz w:val="14"/>
          <w:szCs w:val="14"/>
          <w:color w:val="auto"/>
        </w:rPr>
        <w:t>Consequently, any predictions you make about our future success or viability based on our short operating history may not be as accurate as they could be if we had a longer operating history or an established track record in conducting clinical trials or commercializing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7" w:right="339" w:bottom="1440" w:gutter="0" w:footer="0" w:header="0"/>
        </w:sectPr>
      </w:pPr>
    </w:p>
    <w:bookmarkStart w:id="44" w:name="page45"/>
    <w:bookmarkEnd w:id="44"/>
    <w:p>
      <w:pPr>
        <w:ind w:right="440" w:firstLine="382"/>
        <w:spacing w:after="0" w:line="281" w:lineRule="auto"/>
        <w:rPr>
          <w:sz w:val="20"/>
          <w:szCs w:val="20"/>
          <w:color w:val="auto"/>
        </w:rPr>
      </w:pPr>
      <w:r>
        <w:rPr>
          <w:rFonts w:ascii="Arial" w:cs="Arial" w:eastAsia="Arial" w:hAnsi="Arial"/>
          <w:sz w:val="14"/>
          <w:szCs w:val="14"/>
          <w:color w:val="auto"/>
        </w:rPr>
        <w:t>Further, as a clinical stage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128" w:lineRule="exact"/>
        <w:rPr>
          <w:sz w:val="20"/>
          <w:szCs w:val="20"/>
          <w:color w:val="auto"/>
        </w:rPr>
      </w:pPr>
    </w:p>
    <w:p>
      <w:pPr>
        <w:ind w:right="600"/>
        <w:spacing w:after="0" w:line="287" w:lineRule="auto"/>
        <w:rPr>
          <w:sz w:val="20"/>
          <w:szCs w:val="20"/>
          <w:color w:val="auto"/>
        </w:rPr>
      </w:pPr>
      <w:r>
        <w:rPr>
          <w:rFonts w:ascii="Arial" w:cs="Arial" w:eastAsia="Arial" w:hAnsi="Arial"/>
          <w:sz w:val="14"/>
          <w:szCs w:val="14"/>
          <w:b w:val="1"/>
          <w:b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43" w:lineRule="exact"/>
        <w:rPr>
          <w:sz w:val="20"/>
          <w:szCs w:val="20"/>
          <w:color w:val="auto"/>
        </w:rPr>
      </w:pPr>
    </w:p>
    <w:p>
      <w:pPr>
        <w:ind w:firstLine="382"/>
        <w:spacing w:after="0" w:line="304" w:lineRule="auto"/>
        <w:rPr>
          <w:sz w:val="20"/>
          <w:szCs w:val="20"/>
          <w:color w:val="auto"/>
        </w:rPr>
      </w:pPr>
      <w:r>
        <w:rPr>
          <w:rFonts w:ascii="Arial" w:cs="Arial" w:eastAsia="Arial" w:hAnsi="Arial"/>
          <w:sz w:val="12"/>
          <w:szCs w:val="12"/>
          <w:color w:val="auto"/>
        </w:rPr>
        <w:t>The biotechnology industry is highly competitive and subject to rapid and significant technological change. Products we may develop in the future are also likely to face competition from other drugs and therapies, some of which we may not currently be aware.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spacing w:after="0" w:line="40" w:lineRule="exact"/>
        <w:rPr>
          <w:sz w:val="20"/>
          <w:szCs w:val="20"/>
          <w:color w:val="auto"/>
        </w:rPr>
      </w:pPr>
    </w:p>
    <w:p>
      <w:pPr>
        <w:jc w:val="both"/>
        <w:ind w:right="360" w:firstLine="382"/>
        <w:spacing w:after="0" w:line="267" w:lineRule="auto"/>
        <w:rPr>
          <w:sz w:val="20"/>
          <w:szCs w:val="20"/>
          <w:color w:val="auto"/>
        </w:rPr>
      </w:pPr>
      <w:r>
        <w:rPr>
          <w:rFonts w:ascii="Arial" w:cs="Arial" w:eastAsia="Arial" w:hAnsi="Arial"/>
          <w:sz w:val="14"/>
          <w:szCs w:val="14"/>
          <w:color w:val="auto"/>
        </w:rPr>
        <w:t>For our anti-PD-1 agonist antibody program, our competitors include other anti-PD-1 agonist antibodies peresolimab (Eli Lilly) in Phase 2b development for the treatment of Rheumatoid Arthritis, JNJ-67484703 (Janssen) in Phase 2 development, a PD-1 agonist antibody (Boehringer Ingelheim) in Phase 1 development, PT627 and PT001 (Pandion Therapeutics, which has been acquired by Merck) in preclinical development, and MB151 (MiroBio, which has been acquired by Gilead) in preclinical development.</w:t>
      </w:r>
    </w:p>
    <w:p>
      <w:pPr>
        <w:spacing w:after="0" w:line="57" w:lineRule="exact"/>
        <w:rPr>
          <w:sz w:val="20"/>
          <w:szCs w:val="20"/>
          <w:color w:val="auto"/>
        </w:rPr>
      </w:pPr>
    </w:p>
    <w:p>
      <w:pPr>
        <w:ind w:right="340" w:firstLine="382"/>
        <w:spacing w:after="0" w:line="267" w:lineRule="auto"/>
        <w:rPr>
          <w:sz w:val="20"/>
          <w:szCs w:val="20"/>
          <w:color w:val="auto"/>
        </w:rPr>
      </w:pPr>
      <w:r>
        <w:rPr>
          <w:rFonts w:ascii="Arial" w:cs="Arial" w:eastAsia="Arial" w:hAnsi="Arial"/>
          <w:sz w:val="14"/>
          <w:szCs w:val="14"/>
          <w:color w:val="auto"/>
        </w:rPr>
        <w:t>For moderate-to-severe alopecia areata, our competitors include topical and oral corticosteroids, topical immunotherapy (diphencyprone, dinitrochlorobenzene, squaric acid dibutyl ester), calcineurin inhibitors (tacrolimus, pimecrolimus), prostaglandins, an anti-ILT7 monoclonal antibody, and janus kinase inhibitors (baricitinib, tofacitinib, ruxolitinib, and CTP-543) in clinical development. In June 2022, the FDA approved Olumiant (baricitinib) for the treatment of adults with severe alopecia areata.</w:t>
      </w:r>
    </w:p>
    <w:p>
      <w:pPr>
        <w:spacing w:after="0" w:line="57" w:lineRule="exact"/>
        <w:rPr>
          <w:sz w:val="20"/>
          <w:szCs w:val="20"/>
          <w:color w:val="auto"/>
        </w:rPr>
      </w:pPr>
    </w:p>
    <w:p>
      <w:pPr>
        <w:jc w:val="both"/>
        <w:ind w:right="80" w:firstLine="382"/>
        <w:spacing w:after="0" w:line="267" w:lineRule="auto"/>
        <w:rPr>
          <w:sz w:val="20"/>
          <w:szCs w:val="20"/>
          <w:color w:val="auto"/>
        </w:rPr>
      </w:pPr>
      <w:r>
        <w:rPr>
          <w:rFonts w:ascii="Arial" w:cs="Arial" w:eastAsia="Arial" w:hAnsi="Arial"/>
          <w:sz w:val="14"/>
          <w:szCs w:val="14"/>
          <w:color w:val="auto"/>
        </w:rPr>
        <w:t>For our anti-BTLA agonist antibody program, our competitors include other anti-BTLA agonist antibodies LY3361237 (Eli Lilly) in Phase 2 development, which has demonstrated efficacy in treatment of systemic lupus erythematosus as measured by the cutaneous lupus erythematosus disease area and severity index (CLASI), and MB272 (MiroBio, which has been acquired by Gilead) in preclinical development.</w:t>
      </w:r>
    </w:p>
    <w:p>
      <w:pPr>
        <w:spacing w:after="0" w:line="57" w:lineRule="exact"/>
        <w:rPr>
          <w:sz w:val="20"/>
          <w:szCs w:val="20"/>
          <w:color w:val="auto"/>
        </w:rPr>
      </w:pPr>
    </w:p>
    <w:p>
      <w:pPr>
        <w:ind w:right="100" w:firstLine="382"/>
        <w:spacing w:after="0" w:line="281" w:lineRule="auto"/>
        <w:rPr>
          <w:sz w:val="20"/>
          <w:szCs w:val="20"/>
          <w:color w:val="auto"/>
        </w:rPr>
      </w:pPr>
      <w:r>
        <w:rPr>
          <w:rFonts w:ascii="Arial" w:cs="Arial" w:eastAsia="Arial" w:hAnsi="Arial"/>
          <w:sz w:val="14"/>
          <w:szCs w:val="14"/>
          <w:color w:val="auto"/>
        </w:rPr>
        <w:t>For our anti-CD122 antagonist antibody program, our competitors include one other anti-CD122 antagonist antibody, auremolimab (Villaris Therapeutics, which has been acquired by Incyte), currently in preclinical development, and an anti-IL-15 monoclonal antibody, AMG 714 (Amgen), currently in Phase 2 development for the treatment of vitiligo.</w:t>
      </w:r>
    </w:p>
    <w:p>
      <w:pPr>
        <w:spacing w:after="0" w:line="4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For GPP, our competitors include one other anti-IL-36 receptor antibody called SPEVIGO or spesolimab (Boehringer Ingelheim), recently approved for GPP flares in adults.</w:t>
      </w:r>
    </w:p>
    <w:p>
      <w:pPr>
        <w:spacing w:after="0" w:line="94" w:lineRule="exact"/>
        <w:rPr>
          <w:sz w:val="20"/>
          <w:szCs w:val="20"/>
          <w:color w:val="auto"/>
        </w:rPr>
      </w:pPr>
    </w:p>
    <w:p>
      <w:pPr>
        <w:ind w:right="20" w:firstLine="382"/>
        <w:spacing w:after="0" w:line="282" w:lineRule="auto"/>
        <w:rPr>
          <w:sz w:val="20"/>
          <w:szCs w:val="20"/>
          <w:color w:val="auto"/>
        </w:rPr>
      </w:pPr>
      <w:r>
        <w:rPr>
          <w:rFonts w:ascii="Arial" w:cs="Arial" w:eastAsia="Arial" w:hAnsi="Arial"/>
          <w:sz w:val="13"/>
          <w:szCs w:val="13"/>
          <w:color w:val="auto"/>
        </w:rPr>
        <w:t>With the enactment of the Biologics Price Competition and Innovation Act of 2009 (“BPCIA”), an abbreviated pathway for the approval of biosimilar and interchangeable biological products was created. The abbreviated regulatory pathway establishes legal authority for the FDA to review and approve biosimilar biologics, including the possible designation of a biosimilar as interchangeable based on its similarity to an existing reference product. Under the BPCIA, an application for a biosimilar product cannot be approved by the FDA until 12 years after the original branded product is approved under a BLA. To date, several biosimilar products have been approved under the BPCIA, but no interchangeable biological products have been approved.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biological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45" w:name="page46"/>
    <w:bookmarkEnd w:id="45"/>
    <w:p>
      <w:pPr>
        <w:ind w:right="20" w:firstLine="382"/>
        <w:spacing w:after="0" w:line="260" w:lineRule="auto"/>
        <w:rPr>
          <w:sz w:val="20"/>
          <w:szCs w:val="20"/>
          <w:color w:val="auto"/>
        </w:rPr>
      </w:pPr>
      <w:r>
        <w:rPr>
          <w:rFonts w:ascii="Arial" w:cs="Arial" w:eastAsia="Arial" w:hAnsi="Arial"/>
          <w:sz w:val="14"/>
          <w:szCs w:val="14"/>
          <w:color w:val="auto"/>
        </w:rPr>
        <w:t>We believe that if any of our product candidates are approved as a biological product under a BLA it should qualify for the 12-year period of exclusivity. However, there is a risk that the FDA will not consider any of our product candidates to be reference products for competing products, potentially creating the opportunity for biosimilar competition sooner than anticipated. Additionally, this period of regulatory exclusivity does not apply to companies pursuing regulatory approval via their own traditional BLA, rather than via the abbreviated pathway.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62" w:lineRule="exact"/>
        <w:rPr>
          <w:sz w:val="20"/>
          <w:szCs w:val="20"/>
          <w:color w:val="auto"/>
        </w:rPr>
      </w:pPr>
    </w:p>
    <w:p>
      <w:pPr>
        <w:ind w:firstLine="382"/>
        <w:spacing w:after="0" w:line="260" w:lineRule="auto"/>
        <w:rPr>
          <w:sz w:val="20"/>
          <w:szCs w:val="20"/>
          <w:color w:val="auto"/>
        </w:rPr>
      </w:pPr>
      <w:r>
        <w:rPr>
          <w:rFonts w:ascii="Arial" w:cs="Arial" w:eastAsia="Arial" w:hAnsi="Arial"/>
          <w:sz w:val="14"/>
          <w:szCs w:val="14"/>
          <w:color w:val="auto"/>
        </w:rPr>
        <w:t>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 party payors seeking to encourage the use of biosimilar products. Even if our product candidates achieve marketing approval, they may be priced at a significant premium over competitive biosimilar products if any have been approved by then.</w:t>
      </w:r>
    </w:p>
    <w:p>
      <w:pPr>
        <w:spacing w:after="0" w:line="62" w:lineRule="exact"/>
        <w:rPr>
          <w:sz w:val="20"/>
          <w:szCs w:val="20"/>
          <w:color w:val="auto"/>
        </w:rPr>
      </w:pPr>
    </w:p>
    <w:p>
      <w:pPr>
        <w:ind w:firstLine="382"/>
        <w:spacing w:after="0" w:line="260" w:lineRule="auto"/>
        <w:rPr>
          <w:sz w:val="20"/>
          <w:szCs w:val="20"/>
          <w:color w:val="auto"/>
        </w:rPr>
      </w:pPr>
      <w:r>
        <w:rPr>
          <w:rFonts w:ascii="Arial" w:cs="Arial" w:eastAsia="Arial" w:hAnsi="Arial"/>
          <w:sz w:val="14"/>
          <w:szCs w:val="14"/>
          <w:color w:val="auto"/>
        </w:rPr>
        <w:t>Smaller and other early 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and acquiring technologies complementary to, or necessary for, our programs. In addition, the biotechnology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spacing w:after="0" w:line="142" w:lineRule="exact"/>
        <w:rPr>
          <w:sz w:val="20"/>
          <w:szCs w:val="20"/>
          <w:color w:val="auto"/>
        </w:rPr>
      </w:pPr>
    </w:p>
    <w:p>
      <w:pPr>
        <w:ind w:right="360"/>
        <w:spacing w:after="0" w:line="287" w:lineRule="auto"/>
        <w:rPr>
          <w:sz w:val="20"/>
          <w:szCs w:val="20"/>
          <w:color w:val="auto"/>
        </w:rPr>
      </w:pPr>
      <w:r>
        <w:rPr>
          <w:rFonts w:ascii="Arial" w:cs="Arial" w:eastAsia="Arial" w:hAnsi="Arial"/>
          <w:sz w:val="14"/>
          <w:szCs w:val="14"/>
          <w:b w:val="1"/>
          <w:bCs w:val="1"/>
          <w:color w:val="auto"/>
        </w:rPr>
        <w:t>Our product candidates may not achieve adequate market acceptance among physicians, patients, health care payors and others in the medical community necessary for commercial success.</w:t>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2"/>
          <w:szCs w:val="12"/>
          <w:color w:val="auto"/>
        </w:rPr>
        <w:t>Even if our product candidates receive regulatory approval, they may not gain adequate market acceptance among physicians, patients, health care payors and others in the medical community.</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The degree of market acceptance of any of our approved product candidates will depend on a number of factors, including:</w:t>
      </w:r>
    </w:p>
    <w:p>
      <w:pPr>
        <w:spacing w:after="0" w:line="83" w:lineRule="exact"/>
        <w:rPr>
          <w:sz w:val="20"/>
          <w:szCs w:val="20"/>
          <w:color w:val="auto"/>
        </w:rPr>
      </w:pPr>
    </w:p>
    <w:p>
      <w:pPr>
        <w:ind w:left="700" w:hanging="313"/>
        <w:spacing w:after="0"/>
        <w:tabs>
          <w:tab w:leader="none" w:pos="7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efficacy and safety profile as demonstrated in planned clinical trials;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timing of market introduction of the product candidate as well as competitive products;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clinical indications for which the product candidate is approved;</w:t>
      </w:r>
    </w:p>
    <w:p>
      <w:pPr>
        <w:spacing w:after="0" w:line="93" w:lineRule="exact"/>
        <w:rPr>
          <w:rFonts w:ascii="Arial" w:cs="Arial" w:eastAsia="Arial" w:hAnsi="Arial"/>
          <w:sz w:val="14"/>
          <w:szCs w:val="14"/>
          <w:color w:val="auto"/>
        </w:rPr>
      </w:pPr>
    </w:p>
    <w:p>
      <w:pPr>
        <w:ind w:left="700" w:right="80" w:hanging="313"/>
        <w:spacing w:after="0" w:line="281" w:lineRule="auto"/>
        <w:tabs>
          <w:tab w:leader="none" w:pos="696"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restrictions on the use of our products, if approved, such as boxed warnings or contraindications in labeling or a risk evaluation and mitigation strategy (“REMS”), if any, which may not be required of alternative treatments and competitor products;</w:t>
      </w:r>
    </w:p>
    <w:p>
      <w:pPr>
        <w:spacing w:after="0" w:line="47" w:lineRule="exact"/>
        <w:rPr>
          <w:rFonts w:ascii="Arial" w:cs="Arial" w:eastAsia="Arial" w:hAnsi="Arial"/>
          <w:sz w:val="14"/>
          <w:szCs w:val="14"/>
          <w:color w:val="auto"/>
        </w:rPr>
      </w:pPr>
    </w:p>
    <w:p>
      <w:pPr>
        <w:ind w:left="700" w:hanging="313"/>
        <w:spacing w:after="0"/>
        <w:tabs>
          <w:tab w:leader="none" w:pos="7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acceptance of the product candidate as a safe and effective treatment by physicians, clinics and patients;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potential and perceived advantages of product candidates over alternative treatments, including any similar generic treatments;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cost of treatment in relation to alternative treatments;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availability of coverage and adequate reimbursement and pricing by third parties and government authorities;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relative convenience and ease of administration;</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frequency and severity of adverse events;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effectiveness of sales and marketing efforts; and</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unfavorable publicity relating to the product candidate.</w:t>
      </w:r>
    </w:p>
    <w:p>
      <w:pPr>
        <w:spacing w:after="0" w:line="147" w:lineRule="exact"/>
        <w:rPr>
          <w:sz w:val="20"/>
          <w:szCs w:val="20"/>
          <w:color w:val="auto"/>
        </w:rPr>
      </w:pPr>
    </w:p>
    <w:p>
      <w:pPr>
        <w:ind w:right="240" w:firstLine="382"/>
        <w:spacing w:after="0" w:line="281" w:lineRule="auto"/>
        <w:rPr>
          <w:sz w:val="20"/>
          <w:szCs w:val="20"/>
          <w:color w:val="auto"/>
        </w:rPr>
      </w:pPr>
      <w:r>
        <w:rPr>
          <w:rFonts w:ascii="Arial" w:cs="Arial" w:eastAsia="Arial" w:hAnsi="Arial"/>
          <w:sz w:val="14"/>
          <w:szCs w:val="14"/>
          <w:color w:val="auto"/>
        </w:rPr>
        <w:t>If any product candidate is approved but does not achieve an adequate level of acceptance by physicians, hospitals, health care payors and patients, we may not generate or derive sufficient revenue from that product candidate and may not become or remain profitable.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7" w:right="339" w:bottom="1440" w:gutter="0" w:footer="0" w:header="0"/>
        </w:sectPr>
      </w:pPr>
    </w:p>
    <w:bookmarkStart w:id="46" w:name="page47"/>
    <w:bookmarkEnd w:id="46"/>
    <w:p>
      <w:pPr>
        <w:ind w:right="120"/>
        <w:spacing w:after="0" w:line="287" w:lineRule="auto"/>
        <w:rPr>
          <w:sz w:val="20"/>
          <w:szCs w:val="20"/>
          <w:color w:val="auto"/>
        </w:rPr>
      </w:pPr>
      <w:r>
        <w:rPr>
          <w:rFonts w:ascii="Arial" w:cs="Arial" w:eastAsia="Arial" w:hAnsi="Arial"/>
          <w:sz w:val="14"/>
          <w:szCs w:val="14"/>
          <w:b w:val="1"/>
          <w:bCs w:val="1"/>
          <w:color w:val="auto"/>
        </w:rPr>
        <w:t>If companion diagnostics for our product candidates, for which such diagnostics are required, are not successfully, and in a timely manner, validated, developed or approved, we may not achieve marketing approval or realize the full commercial potential of our product candidates.</w:t>
      </w:r>
    </w:p>
    <w:p>
      <w:pPr>
        <w:spacing w:after="0" w:line="43" w:lineRule="exact"/>
        <w:rPr>
          <w:sz w:val="20"/>
          <w:szCs w:val="20"/>
          <w:color w:val="auto"/>
        </w:rPr>
      </w:pPr>
    </w:p>
    <w:p>
      <w:pPr>
        <w:ind w:firstLine="382"/>
        <w:spacing w:after="0" w:line="279" w:lineRule="auto"/>
        <w:rPr>
          <w:sz w:val="20"/>
          <w:szCs w:val="20"/>
          <w:color w:val="auto"/>
        </w:rPr>
      </w:pPr>
      <w:r>
        <w:rPr>
          <w:rFonts w:ascii="Arial" w:cs="Arial" w:eastAsia="Arial" w:hAnsi="Arial"/>
          <w:sz w:val="13"/>
          <w:szCs w:val="13"/>
          <w:color w:val="auto"/>
        </w:rPr>
        <w:t>If companion diagnostics are developed in conjunction with clinical programs, the FDA may require regulatory approval of a companion diagnostic as a condition to approval of the product candidate. For example, if we use a genetic test to determine which patients are most likely to benefit from imsidolimab for the treatment of GPP by designing our pivotal clinical trial or clinical trials of imsidolimab in that indication to require that subjects test positive for specific genetic mutations as a criterion for enrollment, then we will likely be required to obtain FDA approval or clearance of a companion diagnostic, concurrent with approval of imsidolimab, to test for those genetic mutations; we may also be required to demonstrate to the FDA the predictive utility of the companion diagnostic—namely, that the diagnostic selects for patients in whom the biologic therapy will be effective or more effective compared to patients not selected for by the diagnostic. We do not have experience or capabilities in developing or commercializing diagnostics and plan to rely in large part on third parties to perform these functions. We do not currently have any agreement in place with any third party to develop or commercialize companion diagnostics for any of our product candidates. Companion diagnostics are subject to regulation by the FDA and foreign regulatory authorities as medical devices and require separate regulatory approval or clearance prior to commercialization.</w:t>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If we or our partners, or any third party, are unable to successfully develop companion diagnostics for our product candidates, or experience delays in doing so:</w:t>
      </w:r>
    </w:p>
    <w:p>
      <w:pPr>
        <w:spacing w:after="0" w:line="94" w:lineRule="exact"/>
        <w:rPr>
          <w:sz w:val="20"/>
          <w:szCs w:val="20"/>
          <w:color w:val="auto"/>
        </w:rPr>
      </w:pPr>
    </w:p>
    <w:p>
      <w:pPr>
        <w:ind w:left="700" w:hanging="313"/>
        <w:spacing w:after="0"/>
        <w:tabs>
          <w:tab w:leader="none" w:pos="7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development of our product candidates may be adversely affected if we are unable to appropriately select patients for enrollment in our planned clinical trials;</w:t>
      </w:r>
    </w:p>
    <w:p>
      <w:pPr>
        <w:spacing w:after="0" w:line="93" w:lineRule="exact"/>
        <w:rPr>
          <w:rFonts w:ascii="Arial" w:cs="Arial" w:eastAsia="Arial" w:hAnsi="Arial"/>
          <w:sz w:val="14"/>
          <w:szCs w:val="14"/>
          <w:color w:val="auto"/>
        </w:rPr>
      </w:pPr>
    </w:p>
    <w:p>
      <w:pPr>
        <w:ind w:left="700" w:hanging="313"/>
        <w:spacing w:after="0"/>
        <w:tabs>
          <w:tab w:leader="none" w:pos="7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our product candidates may not receive marketing approval if their safe and effective use depends on a companion diagnostic; and</w:t>
      </w:r>
    </w:p>
    <w:p>
      <w:pPr>
        <w:spacing w:after="0" w:line="93" w:lineRule="exact"/>
        <w:rPr>
          <w:rFonts w:ascii="Arial" w:cs="Arial" w:eastAsia="Arial" w:hAnsi="Arial"/>
          <w:sz w:val="14"/>
          <w:szCs w:val="14"/>
          <w:color w:val="auto"/>
        </w:rPr>
      </w:pPr>
    </w:p>
    <w:p>
      <w:pPr>
        <w:ind w:left="700" w:right="120" w:hanging="313"/>
        <w:spacing w:after="0" w:line="281" w:lineRule="auto"/>
        <w:tabs>
          <w:tab w:leader="none" w:pos="696" w:val="left"/>
        </w:tabs>
        <w:numPr>
          <w:ilvl w:val="0"/>
          <w:numId w:val="23"/>
        </w:numPr>
        <w:rPr>
          <w:rFonts w:ascii="Arial" w:cs="Arial" w:eastAsia="Arial" w:hAnsi="Arial"/>
          <w:sz w:val="14"/>
          <w:szCs w:val="14"/>
          <w:color w:val="auto"/>
        </w:rPr>
      </w:pPr>
      <w:r>
        <w:rPr>
          <w:rFonts w:ascii="Arial" w:cs="Arial" w:eastAsia="Arial" w:hAnsi="Arial"/>
          <w:sz w:val="14"/>
          <w:szCs w:val="14"/>
          <w:color w:val="auto"/>
        </w:rPr>
        <w:t>we may not realize the full commercial potential of any product candidates that receive marketing approval if, among other reasons, we are unable to appropriately identify patients with the specific genetic alterations targeted by our product candidates.</w:t>
      </w:r>
    </w:p>
    <w:p>
      <w:pPr>
        <w:spacing w:after="0" w:line="47" w:lineRule="exact"/>
        <w:rPr>
          <w:sz w:val="20"/>
          <w:szCs w:val="20"/>
          <w:color w:val="auto"/>
        </w:rPr>
      </w:pPr>
    </w:p>
    <w:p>
      <w:pPr>
        <w:ind w:right="240" w:firstLine="382"/>
        <w:spacing w:after="0" w:line="267" w:lineRule="auto"/>
        <w:rPr>
          <w:sz w:val="20"/>
          <w:szCs w:val="20"/>
          <w:color w:val="auto"/>
        </w:rPr>
      </w:pPr>
      <w:r>
        <w:rPr>
          <w:rFonts w:ascii="Arial" w:cs="Arial" w:eastAsia="Arial" w:hAnsi="Arial"/>
          <w:sz w:val="14"/>
          <w:szCs w:val="14"/>
          <w:color w:val="auto"/>
        </w:rPr>
        <w:t>In addition, although we believe genetic testing is becoming more prevalent in the diagnosis and treatment of various diseases and conditions, our product candidates may be perceived negatively compared to alternative treatments that do not require the use of companion diagnostics, either due to the additional cost of the companion diagnostic or the need to complete additional procedures to identify genetic markers prior to administering our product candidates.</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If any of these events were to occur, our business would be harmed, possibly materially.</w:t>
      </w:r>
    </w:p>
    <w:p>
      <w:pPr>
        <w:spacing w:after="0" w:line="175" w:lineRule="exact"/>
        <w:rPr>
          <w:sz w:val="20"/>
          <w:szCs w:val="20"/>
          <w:color w:val="auto"/>
        </w:rPr>
      </w:pPr>
    </w:p>
    <w:p>
      <w:pPr>
        <w:ind w:right="60"/>
        <w:spacing w:after="0" w:line="270" w:lineRule="auto"/>
        <w:rPr>
          <w:sz w:val="20"/>
          <w:szCs w:val="20"/>
          <w:color w:val="auto"/>
        </w:rPr>
      </w:pPr>
      <w:r>
        <w:rPr>
          <w:rFonts w:ascii="Arial" w:cs="Arial" w:eastAsia="Arial" w:hAnsi="Arial"/>
          <w:sz w:val="14"/>
          <w:szCs w:val="14"/>
          <w:b w:val="1"/>
          <w:bCs w:val="1"/>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spacing w:after="0" w:line="55" w:lineRule="exact"/>
        <w:rPr>
          <w:sz w:val="20"/>
          <w:szCs w:val="20"/>
          <w:color w:val="auto"/>
        </w:rPr>
      </w:pPr>
    </w:p>
    <w:p>
      <w:pPr>
        <w:ind w:right="40" w:firstLine="382"/>
        <w:spacing w:after="0" w:line="279" w:lineRule="auto"/>
        <w:rPr>
          <w:sz w:val="20"/>
          <w:szCs w:val="20"/>
          <w:color w:val="auto"/>
        </w:rPr>
      </w:pPr>
      <w:r>
        <w:rPr>
          <w:rFonts w:ascii="Arial" w:cs="Arial" w:eastAsia="Arial" w:hAnsi="Arial"/>
          <w:sz w:val="13"/>
          <w:szCs w:val="13"/>
          <w:color w:val="auto"/>
        </w:rPr>
        <w:t>The process of manufacturing biologics is complex, highly regulated and subject to multiple risks, and requires significant expertise and capital investment, including the development of advanced manufacturing techniques and process controls.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or supply chain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 We and our contract manufacturers must comply with current good manufacturing practices (“cGMPs”) for the manufacturing of biologics used in clinical trials and, if approved, marketed products. Moreover, if the FDA determines that our manufacturer is not in compliance with FDA laws and regulations, including cGMPs, the FDA may deny BLA approval until the deficiencies are corrected or we replace the manufacturer in our BLA with a manufacturer that is in compliance.</w:t>
      </w:r>
    </w:p>
    <w:p>
      <w:pPr>
        <w:spacing w:after="0" w:line="53" w:lineRule="exact"/>
        <w:rPr>
          <w:sz w:val="20"/>
          <w:szCs w:val="20"/>
          <w:color w:val="auto"/>
        </w:rPr>
      </w:pPr>
    </w:p>
    <w:p>
      <w:pPr>
        <w:ind w:right="580" w:firstLine="382"/>
        <w:spacing w:after="0" w:line="281" w:lineRule="auto"/>
        <w:rPr>
          <w:sz w:val="20"/>
          <w:szCs w:val="20"/>
          <w:color w:val="auto"/>
        </w:rPr>
      </w:pPr>
      <w:r>
        <w:rPr>
          <w:rFonts w:ascii="Arial" w:cs="Arial" w:eastAsia="Arial" w:hAnsi="Arial"/>
          <w:sz w:val="14"/>
          <w:szCs w:val="14"/>
          <w:color w:val="auto"/>
        </w:rPr>
        <w:t>Furthermore, all of our therapeutic antibodies are manufactured by starting with cells which are stored in a cell bank. We have one master cell bank for each antibody manufactured in accordance with cGMP and multiple working cell banks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8" w:right="319" w:bottom="1440" w:gutter="0" w:footer="0" w:header="0"/>
        </w:sectPr>
      </w:pPr>
    </w:p>
    <w:bookmarkStart w:id="47" w:name="page48"/>
    <w:bookmarkEnd w:id="47"/>
    <w:p>
      <w:pPr>
        <w:ind w:right="420"/>
        <w:spacing w:after="0" w:line="281" w:lineRule="auto"/>
        <w:rPr>
          <w:sz w:val="20"/>
          <w:szCs w:val="20"/>
          <w:color w:val="auto"/>
        </w:rPr>
      </w:pPr>
      <w:r>
        <w:rPr>
          <w:rFonts w:ascii="Arial" w:cs="Arial" w:eastAsia="Arial" w:hAnsi="Arial"/>
          <w:sz w:val="14"/>
          <w:szCs w:val="14"/>
          <w:color w:val="auto"/>
        </w:rPr>
        <w:t>believe we would have adequate backup should any cell bank be lost in a catastrophic event. However, it is possible that we could lose multiple cell banks and have our manufacturing severely impacted by the need to replace the cell banks.</w:t>
      </w:r>
    </w:p>
    <w:p>
      <w:pPr>
        <w:spacing w:after="0" w:line="47" w:lineRule="exact"/>
        <w:rPr>
          <w:sz w:val="20"/>
          <w:szCs w:val="20"/>
          <w:color w:val="auto"/>
        </w:rPr>
      </w:pPr>
    </w:p>
    <w:p>
      <w:pPr>
        <w:ind w:right="140" w:firstLine="382"/>
        <w:spacing w:after="0" w:line="303" w:lineRule="auto"/>
        <w:rPr>
          <w:sz w:val="20"/>
          <w:szCs w:val="20"/>
          <w:color w:val="auto"/>
        </w:rPr>
      </w:pPr>
      <w:r>
        <w:rPr>
          <w:rFonts w:ascii="Arial" w:cs="Arial" w:eastAsia="Arial" w:hAnsi="Arial"/>
          <w:sz w:val="12"/>
          <w:szCs w:val="12"/>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Moreover, we source certain of the raw materials needed for our product candidates from outside the U.S. Although we have not experienced any material supply interruptions to date, it is possible that political, economic or public health events, such as the COVID-19 pandemic, could cause such interruptions in the future. If our manufacturers are unable to produce sufficient quantities for clinical trials or for commercialization, commercialization efforts would be impaired, which would have an adverse effect on our business, financial condition, results of operations and growth prospects.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w:t>
      </w:r>
    </w:p>
    <w:p>
      <w:pPr>
        <w:spacing w:after="0" w:line="40" w:lineRule="exact"/>
        <w:rPr>
          <w:sz w:val="20"/>
          <w:szCs w:val="20"/>
          <w:color w:val="auto"/>
        </w:rPr>
      </w:pPr>
    </w:p>
    <w:p>
      <w:pPr>
        <w:ind w:right="20" w:firstLine="382"/>
        <w:spacing w:after="0" w:line="309" w:lineRule="auto"/>
        <w:rPr>
          <w:sz w:val="20"/>
          <w:szCs w:val="20"/>
          <w:color w:val="auto"/>
        </w:rPr>
      </w:pPr>
      <w:r>
        <w:rPr>
          <w:rFonts w:ascii="Arial" w:cs="Arial" w:eastAsia="Arial" w:hAnsi="Arial"/>
          <w:sz w:val="12"/>
          <w:szCs w:val="12"/>
          <w:color w:val="auto"/>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manufacturers, we will need to transfer to other manufacturers and complete the manufacturing validation process, which can be lengthy and costly. Even if we are able to adequately validate and scale-up the manufacturing process for our product candidates with contract manufacturers, we will still need to negotiate with such contract manufacturers agreements for commercial supply, and it is not certain we will be able to come to agreement on terms acceptable to us. Accordingly, failures or difficulties faced at any level of our manufacturing process could adversely affect our business and delay or impede the development and commercialization of our product candidates or products and could have an adverse effect on our business, prospects, financial condition and results of operations.</w:t>
      </w:r>
    </w:p>
    <w:p>
      <w:pPr>
        <w:spacing w:after="0" w:line="118" w:lineRule="exact"/>
        <w:rPr>
          <w:sz w:val="20"/>
          <w:szCs w:val="20"/>
          <w:color w:val="auto"/>
        </w:rPr>
      </w:pPr>
    </w:p>
    <w:p>
      <w:pPr>
        <w:ind w:right="120"/>
        <w:spacing w:after="0" w:line="287" w:lineRule="auto"/>
        <w:rPr>
          <w:sz w:val="20"/>
          <w:szCs w:val="20"/>
          <w:color w:val="auto"/>
        </w:rPr>
      </w:pPr>
      <w:r>
        <w:rPr>
          <w:rFonts w:ascii="Arial" w:cs="Arial" w:eastAsia="Arial" w:hAnsi="Arial"/>
          <w:sz w:val="14"/>
          <w:szCs w:val="14"/>
          <w:b w:val="1"/>
          <w:bCs w:val="1"/>
          <w:color w:val="212529"/>
        </w:rPr>
        <w:t>The COVID-19 pandemic has had a material impact on the U.S. and global economies and could have a material adverse impact on our employees, contractors and patients, which could adversely and materially impact our business, financial condition and results of operations.</w:t>
      </w:r>
    </w:p>
    <w:p>
      <w:pPr>
        <w:spacing w:after="0" w:line="43" w:lineRule="exact"/>
        <w:rPr>
          <w:sz w:val="20"/>
          <w:szCs w:val="20"/>
          <w:color w:val="auto"/>
        </w:rPr>
      </w:pPr>
    </w:p>
    <w:p>
      <w:pPr>
        <w:ind w:right="100" w:firstLine="382"/>
        <w:spacing w:after="0" w:line="297" w:lineRule="auto"/>
        <w:rPr>
          <w:sz w:val="20"/>
          <w:szCs w:val="20"/>
          <w:color w:val="auto"/>
        </w:rPr>
      </w:pPr>
      <w:r>
        <w:rPr>
          <w:rFonts w:ascii="Arial" w:cs="Arial" w:eastAsia="Arial" w:hAnsi="Arial"/>
          <w:sz w:val="13"/>
          <w:szCs w:val="13"/>
          <w:color w:val="auto"/>
        </w:rPr>
        <w:t>The COVID-19 pandemic and mitigation measures have had, and may continue to have, an adverse impact on global economic conditions, which could have an adverse effect on our business and financial condition, including impairing our ability to raise capital when needed. The extent to which the COVID-19 pandemic impacts our business and operations will depend on future developments that are highly uncertain and cannot be predicted, including new information that may emerge concerning the severity of the virus and the actions to contain its impact.</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Financial Position and Capital Needs</w:t>
      </w:r>
    </w:p>
    <w:p>
      <w:pPr>
        <w:spacing w:after="0" w:line="94" w:lineRule="exact"/>
        <w:rPr>
          <w:sz w:val="20"/>
          <w:szCs w:val="20"/>
          <w:color w:val="auto"/>
        </w:rPr>
      </w:pPr>
    </w:p>
    <w:p>
      <w:pPr>
        <w:spacing w:after="0" w:line="287" w:lineRule="auto"/>
        <w:rPr>
          <w:sz w:val="20"/>
          <w:szCs w:val="20"/>
          <w:color w:val="auto"/>
        </w:rPr>
      </w:pPr>
      <w:r>
        <w:rPr>
          <w:rFonts w:ascii="Arial" w:cs="Arial" w:eastAsia="Arial" w:hAnsi="Arial"/>
          <w:sz w:val="14"/>
          <w:szCs w:val="14"/>
          <w:b w:val="1"/>
          <w:bCs w:val="1"/>
          <w:color w:val="auto"/>
        </w:rPr>
        <w:t>We have limited operating revenue and a history of operational losses and may not achieve or sustain profitability. We have no products approved for commercial sale, and to date we have not generated any revenue or profit from sales of our product candidates.</w:t>
      </w:r>
    </w:p>
    <w:p>
      <w:pPr>
        <w:spacing w:after="0" w:line="43" w:lineRule="exact"/>
        <w:rPr>
          <w:sz w:val="20"/>
          <w:szCs w:val="20"/>
          <w:color w:val="auto"/>
        </w:rPr>
      </w:pPr>
    </w:p>
    <w:p>
      <w:pPr>
        <w:ind w:right="140" w:firstLine="382"/>
        <w:spacing w:after="0" w:line="262" w:lineRule="auto"/>
        <w:rPr>
          <w:sz w:val="20"/>
          <w:szCs w:val="20"/>
          <w:color w:val="auto"/>
        </w:rPr>
      </w:pPr>
      <w:r>
        <w:rPr>
          <w:rFonts w:ascii="Arial" w:cs="Arial" w:eastAsia="Arial" w:hAnsi="Arial"/>
          <w:sz w:val="14"/>
          <w:szCs w:val="14"/>
          <w:color w:val="auto"/>
        </w:rPr>
        <w:t>We are an early-stage biotechnology company with a limited operating history. We have no approved products. To date, our revenue has been primarily derived from our GSK research collaboration and license agreement, and royalty monetization agreements based on our GSK collaboration,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spacing w:after="0" w:line="61" w:lineRule="exact"/>
        <w:rPr>
          <w:sz w:val="20"/>
          <w:szCs w:val="20"/>
          <w:color w:val="auto"/>
        </w:rPr>
      </w:pPr>
    </w:p>
    <w:p>
      <w:pPr>
        <w:ind w:right="180" w:firstLine="382"/>
        <w:spacing w:after="0" w:line="281" w:lineRule="auto"/>
        <w:rPr>
          <w:sz w:val="20"/>
          <w:szCs w:val="20"/>
          <w:color w:val="auto"/>
        </w:rPr>
      </w:pPr>
      <w:r>
        <w:rPr>
          <w:rFonts w:ascii="Arial" w:cs="Arial" w:eastAsia="Arial" w:hAnsi="Arial"/>
          <w:sz w:val="14"/>
          <w:szCs w:val="14"/>
          <w:color w:val="auto"/>
        </w:rPr>
        <w:t>Since our inception, we have incurred significant operating losses in every year except fiscal year 2014. We had $3.5 million in collaboration revenue and our net loss was $102.3 million for the nine months ended September 30, 2022 and a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48" w:name="page49"/>
    <w:bookmarkEnd w:id="48"/>
    <w:p>
      <w:pPr>
        <w:spacing w:after="0"/>
        <w:rPr>
          <w:sz w:val="20"/>
          <w:szCs w:val="20"/>
          <w:color w:val="auto"/>
        </w:rPr>
      </w:pPr>
      <w:r>
        <w:rPr>
          <w:rFonts w:ascii="Arial" w:cs="Arial" w:eastAsia="Arial" w:hAnsi="Arial"/>
          <w:sz w:val="13"/>
          <w:szCs w:val="13"/>
          <w:color w:val="auto"/>
        </w:rPr>
        <w:t>loss of $25.3 million for the nine months ended September 30, 2021, with $62.2 million in collaboration revenue. As of September 30, 2022, we had an accumulated deficit of $424.1 million.</w:t>
      </w:r>
    </w:p>
    <w:p>
      <w:pPr>
        <w:spacing w:after="0" w:line="105" w:lineRule="exact"/>
        <w:rPr>
          <w:sz w:val="20"/>
          <w:szCs w:val="20"/>
          <w:color w:val="auto"/>
        </w:rPr>
      </w:pPr>
    </w:p>
    <w:p>
      <w:pPr>
        <w:ind w:right="60" w:firstLine="382"/>
        <w:spacing w:after="0" w:line="257" w:lineRule="auto"/>
        <w:rPr>
          <w:sz w:val="20"/>
          <w:szCs w:val="20"/>
          <w:color w:val="auto"/>
        </w:rPr>
      </w:pPr>
      <w:r>
        <w:rPr>
          <w:rFonts w:ascii="Arial" w:cs="Arial" w:eastAsia="Arial" w:hAnsi="Arial"/>
          <w:sz w:val="14"/>
          <w:szCs w:val="14"/>
          <w:color w:val="auto"/>
        </w:rPr>
        <w:t>We have financed our operations primarily through our initial public offering of common stock in January 2017, our follow-on public offerings of common stock in October 2017 and September 2018, our JEMPERLI Royalty Monetization Agreement, and our Zejula Royalty Monetization Agreement. We have devoted substantially all of our efforts to research and development. We have only recently initiated clinical development for three of our product candidates and expect that it will be several years, if ever, before we have a product candidate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milestone and royalty payments under collaboration and license agreements with our collaborators. Our ability to generate future product revenue from our current or future product candidates depends on a number of additional factors, including our ability (or as applicable our collaborators’ ability) to:</w:t>
      </w:r>
    </w:p>
    <w:p>
      <w:pPr>
        <w:spacing w:after="0" w:line="66" w:lineRule="exact"/>
        <w:rPr>
          <w:sz w:val="20"/>
          <w:szCs w:val="20"/>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continue research and preclinical development of our product candidates;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identify additional product candidates;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maintain existing and enter into new collaboration agreements;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conduct additional preclinical studies and initiate clinical trials for our product candidates;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obtain approvals for the product candidates we develop or developed under our collaboration arrangements;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establish a sales, marketing and distribution infrastructure to commercialize any product candidates for which we may obtain marketing approval;</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maintain, expand and protect our intellectual property portfolio;</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hire additional executive, clinical, quality control and scientific personnel;</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add operational, financial and management information systems and personnel, including personnel to support our product development and commercialization efforts;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establish and maintain supply and manufacturing relationships with third parties and ensure adequate and legally compliant manufacturing of our product candidates;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obtain coverage and adequate product reimbursement from third-party payors, including government payors;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acquire or in-license other product candidates and technologies;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achieve market acceptance for our or our collaborators’ products, if any.</w:t>
      </w:r>
    </w:p>
    <w:p>
      <w:pPr>
        <w:spacing w:after="0" w:line="94" w:lineRule="exact"/>
        <w:rPr>
          <w:sz w:val="20"/>
          <w:szCs w:val="20"/>
          <w:color w:val="auto"/>
        </w:rPr>
      </w:pPr>
    </w:p>
    <w:p>
      <w:pPr>
        <w:ind w:right="200" w:firstLine="382"/>
        <w:spacing w:after="0" w:line="262" w:lineRule="auto"/>
        <w:rPr>
          <w:sz w:val="20"/>
          <w:szCs w:val="20"/>
          <w:color w:val="auto"/>
        </w:rPr>
      </w:pPr>
      <w:r>
        <w:rPr>
          <w:rFonts w:ascii="Arial" w:cs="Arial" w:eastAsia="Arial" w:hAnsi="Arial"/>
          <w:sz w:val="14"/>
          <w:szCs w:val="14"/>
          <w:color w:val="auto"/>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clinical trials in addition to those that we currently anticipate. Even if any of our product candidates are approved for commercial sale, we anticipate incurring significant costs associated with the commercial launch of any product candidate.</w:t>
      </w:r>
    </w:p>
    <w:p>
      <w:pPr>
        <w:spacing w:after="0" w:line="61" w:lineRule="exact"/>
        <w:rPr>
          <w:sz w:val="20"/>
          <w:szCs w:val="20"/>
          <w:color w:val="auto"/>
        </w:rPr>
      </w:pPr>
    </w:p>
    <w:p>
      <w:pPr>
        <w:ind w:firstLine="382"/>
        <w:spacing w:after="0" w:line="257" w:lineRule="auto"/>
        <w:rPr>
          <w:sz w:val="20"/>
          <w:szCs w:val="20"/>
          <w:color w:val="auto"/>
        </w:rPr>
      </w:pPr>
      <w:r>
        <w:rPr>
          <w:rFonts w:ascii="Arial" w:cs="Arial" w:eastAsia="Arial" w:hAnsi="Arial"/>
          <w:sz w:val="14"/>
          <w:szCs w:val="14"/>
          <w:color w:val="auto"/>
        </w:rPr>
        <w:t>We are currently only in the clinical development stages for our most advanced product candidates. In order to become and remain profitable we must, alone or with our collaborators, develop and eventually commercialize a product or products with significant market potential. This may require us to be successful in a range of challenging activities, including completing clinical trials of our product candidates, successfully developing companion diagnostics, obtaining marketing approval for these product candidates and manufacturing, marketing and selling those products for which we may obtain marketing approval.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7" w:right="339" w:bottom="1440" w:gutter="0" w:footer="0" w:header="0"/>
        </w:sectPr>
      </w:pPr>
    </w:p>
    <w:bookmarkStart w:id="49" w:name="page50"/>
    <w:bookmarkEnd w:id="49"/>
    <w:p>
      <w:pPr>
        <w:ind w:right="540"/>
        <w:spacing w:after="0" w:line="287" w:lineRule="auto"/>
        <w:rPr>
          <w:sz w:val="20"/>
          <w:szCs w:val="20"/>
          <w:color w:val="auto"/>
        </w:rPr>
      </w:pPr>
      <w:r>
        <w:rPr>
          <w:rFonts w:ascii="Arial" w:cs="Arial" w:eastAsia="Arial" w:hAnsi="Arial"/>
          <w:sz w:val="14"/>
          <w:szCs w:val="14"/>
          <w:b w:val="1"/>
          <w:b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43" w:lineRule="exact"/>
        <w:rPr>
          <w:sz w:val="20"/>
          <w:szCs w:val="20"/>
          <w:color w:val="auto"/>
        </w:rPr>
      </w:pPr>
    </w:p>
    <w:p>
      <w:pPr>
        <w:ind w:firstLine="382"/>
        <w:spacing w:after="0" w:line="279" w:lineRule="auto"/>
        <w:rPr>
          <w:sz w:val="20"/>
          <w:szCs w:val="20"/>
          <w:color w:val="auto"/>
        </w:rPr>
      </w:pPr>
      <w:r>
        <w:rPr>
          <w:rFonts w:ascii="Arial" w:cs="Arial" w:eastAsia="Arial" w:hAnsi="Arial"/>
          <w:sz w:val="13"/>
          <w:szCs w:val="13"/>
          <w:color w:val="auto"/>
        </w:rPr>
        <w:t>As a research and development company, our operations have consumed substantial amounts of cash since our inception. We expect our research and development expenses to increase substantially in connection with our ongoing activities, particularly as we continue our discovery and preclinical development to identify new clinical candidates, and we and our collaborators conduct clinical trials of, and seek marketing approval for, our product candidates. In addition, if we obtain marketing approval for any of our product candidates, we expect to incur significant commercialization expenses related to product sales, marketing, manufacturing and distribution. Furthermore, we incur additional costs associated with operating as a public company. We believe that our existing cash, cash equivalents and investments will fund our current operating plan for at least the next 12 months. However, circumstances may cause us to consume capital more rapidly than we currently anticipate. For example, as we continue to move our product candidates through preclinical studies, submit INDs or foreign equivalents and conduct clinical development, we may have adverse results requiring us to find new product candidates. Any of these events may increase our development costs more than we expect. We may need to raise additional funds or otherwise obtain funding through collaboration agreements to continue development of our product candidates.</w:t>
      </w:r>
    </w:p>
    <w:p>
      <w:pPr>
        <w:spacing w:after="0" w:line="53" w:lineRule="exact"/>
        <w:rPr>
          <w:sz w:val="20"/>
          <w:szCs w:val="20"/>
          <w:color w:val="auto"/>
        </w:rPr>
      </w:pPr>
    </w:p>
    <w:p>
      <w:pPr>
        <w:jc w:val="both"/>
        <w:ind w:right="60" w:firstLine="382"/>
        <w:spacing w:after="0" w:line="267" w:lineRule="auto"/>
        <w:rPr>
          <w:sz w:val="20"/>
          <w:szCs w:val="20"/>
          <w:color w:val="auto"/>
        </w:rPr>
      </w:pPr>
      <w:r>
        <w:rPr>
          <w:rFonts w:ascii="Arial" w:cs="Arial" w:eastAsia="Arial" w:hAnsi="Arial"/>
          <w:sz w:val="14"/>
          <w:szCs w:val="14"/>
          <w:color w:val="auto"/>
        </w:rPr>
        <w:t>If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57" w:lineRule="exact"/>
        <w:rPr>
          <w:sz w:val="20"/>
          <w:szCs w:val="20"/>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significantly delay, scale back or discontinue the development or commercialization of our product candidates or cease operations altogether;</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seek strategic alliances for research and development programs at an earlier stage than we would otherwise desire or on terms less favorable than might otherwise be available;</w:t>
      </w:r>
    </w:p>
    <w:p>
      <w:pPr>
        <w:spacing w:after="0" w:line="105" w:lineRule="exact"/>
        <w:rPr>
          <w:rFonts w:ascii="Arial" w:cs="Arial" w:eastAsia="Arial" w:hAnsi="Arial"/>
          <w:sz w:val="13"/>
          <w:szCs w:val="13"/>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relinquish, or license on unfavorable terms, our rights to technologies or future product candidates that we otherwise would seek to develop or commercialize ourselves; or</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eliminate staff to conserve resources.</w:t>
      </w:r>
    </w:p>
    <w:p>
      <w:pPr>
        <w:spacing w:after="0" w:line="94" w:lineRule="exact"/>
        <w:rPr>
          <w:sz w:val="20"/>
          <w:szCs w:val="20"/>
          <w:color w:val="auto"/>
        </w:rPr>
      </w:pPr>
    </w:p>
    <w:p>
      <w:pPr>
        <w:ind w:right="20" w:firstLine="382"/>
        <w:spacing w:after="0" w:line="282" w:lineRule="auto"/>
        <w:rPr>
          <w:sz w:val="20"/>
          <w:szCs w:val="20"/>
          <w:color w:val="auto"/>
        </w:rPr>
      </w:pPr>
      <w:r>
        <w:rPr>
          <w:rFonts w:ascii="Arial" w:cs="Arial" w:eastAsia="Arial" w:hAnsi="Arial"/>
          <w:sz w:val="13"/>
          <w:szCs w:val="13"/>
          <w:color w:val="auto"/>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 Adverse macro-economic conditions, including volatility in equity capital markets, rising interest rates, and fluctuations in foreign exchange rates, could prevent us from raising additional capital in sufficient amounts or on terms acceptable to us or at all.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use our available capital resources sooner than we currently expect. Our future funding requirements, both short and long-term, will depend on many factors, including:</w:t>
      </w:r>
    </w:p>
    <w:p>
      <w:pPr>
        <w:spacing w:after="0" w:line="49" w:lineRule="exact"/>
        <w:rPr>
          <w:sz w:val="20"/>
          <w:szCs w:val="20"/>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initiation, progress, timing, costs and results of preclinical studies and clinical trials for our product candidates and future product candidates we may develop;</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number and size of clinical trials needed to show safety, efficacy and an acceptable risk/benefit profile for any of our product candidates;</w:t>
      </w:r>
    </w:p>
    <w:p>
      <w:pPr>
        <w:spacing w:after="0" w:line="93" w:lineRule="exact"/>
        <w:rPr>
          <w:rFonts w:ascii="Arial" w:cs="Arial" w:eastAsia="Arial" w:hAnsi="Arial"/>
          <w:sz w:val="14"/>
          <w:szCs w:val="14"/>
          <w:color w:val="auto"/>
        </w:rPr>
      </w:pPr>
    </w:p>
    <w:p>
      <w:pPr>
        <w:ind w:left="520" w:right="240" w:hanging="260"/>
        <w:spacing w:after="0" w:line="281" w:lineRule="auto"/>
        <w:tabs>
          <w:tab w:leader="none" w:pos="516"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outcome, timing and cost of seeking and obtaining regulatory approvals from the FDA and foreign regulatory authorities, including the potential for such authorities to require that we perform more studies or trials than those that we currently expect;</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commercial success or failure of products sold by our collaborators, such as JEMPERLI by GSK, and the timing thereof;</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our ability to maintain existing and enter into new collaboration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8" w:right="319" w:bottom="1440" w:gutter="0" w:footer="0" w:header="0"/>
        </w:sectPr>
      </w:pPr>
    </w:p>
    <w:bookmarkStart w:id="50" w:name="page51"/>
    <w:bookmarkEnd w:id="50"/>
    <w:p>
      <w:pPr>
        <w:ind w:left="520" w:right="120" w:hanging="260"/>
        <w:spacing w:after="0" w:line="281" w:lineRule="auto"/>
        <w:tabs>
          <w:tab w:leader="none" w:pos="516"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effect of competing technological and market developments;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market acceptance of any approved product candidates;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costs of acquiring, licensing or investing in additional businesses, products, product candidates and technologies;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cost of recruiting and retaining key employees, including a search for a permanent replacement President and Chief Executive Officer, if applicable;</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costs and fees associated with any delays or cancellations of forecasted manufacturing batches;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cost and timing of selecting, auditing and potentially validating manufacturing sites for commercial-scale manufacturing; and</w:t>
      </w:r>
    </w:p>
    <w:p>
      <w:pPr>
        <w:spacing w:after="0" w:line="93" w:lineRule="exact"/>
        <w:rPr>
          <w:rFonts w:ascii="Arial" w:cs="Arial" w:eastAsia="Arial" w:hAnsi="Arial"/>
          <w:sz w:val="14"/>
          <w:szCs w:val="14"/>
          <w:color w:val="auto"/>
        </w:rPr>
      </w:pPr>
    </w:p>
    <w:p>
      <w:pPr>
        <w:ind w:left="520" w:right="420" w:hanging="260"/>
        <w:spacing w:after="0" w:line="281" w:lineRule="auto"/>
        <w:tabs>
          <w:tab w:leader="none" w:pos="516"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cost of establishing sales, marketing and distribution capabilities for our product candidates for which we may receive regulatory approval and that we determine to commercialize ourselves or in collaboration with our collaborators.</w:t>
      </w:r>
    </w:p>
    <w:p>
      <w:pPr>
        <w:spacing w:after="0" w:line="47" w:lineRule="exact"/>
        <w:rPr>
          <w:sz w:val="20"/>
          <w:szCs w:val="20"/>
          <w:color w:val="auto"/>
        </w:rPr>
      </w:pPr>
    </w:p>
    <w:p>
      <w:pPr>
        <w:ind w:right="120" w:firstLine="382"/>
        <w:spacing w:after="0" w:line="281" w:lineRule="auto"/>
        <w:rPr>
          <w:sz w:val="20"/>
          <w:szCs w:val="20"/>
          <w:color w:val="auto"/>
        </w:rPr>
      </w:pPr>
      <w:r>
        <w:rPr>
          <w:rFonts w:ascii="Arial" w:cs="Arial" w:eastAsia="Arial" w:hAnsi="Arial"/>
          <w:sz w:val="14"/>
          <w:szCs w:val="14"/>
          <w:color w:val="auto"/>
        </w:rPr>
        <w:t>If we cannot expand our operations or otherwise capitalize on our business opportunities due to a lack of capital, our business, financial condition and results of operations could be adversely affected.</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Raising additional capital may cause dilution to our existing stockholders, restrict our operations or require us to relinquish rights to our product candidates on unfavorable terms to us.</w:t>
      </w:r>
    </w:p>
    <w:p>
      <w:pPr>
        <w:spacing w:after="0" w:line="121" w:lineRule="exact"/>
        <w:rPr>
          <w:sz w:val="20"/>
          <w:szCs w:val="20"/>
          <w:color w:val="auto"/>
        </w:rPr>
      </w:pPr>
    </w:p>
    <w:p>
      <w:pPr>
        <w:ind w:firstLine="382"/>
        <w:spacing w:after="0" w:line="282" w:lineRule="auto"/>
        <w:rPr>
          <w:sz w:val="20"/>
          <w:szCs w:val="20"/>
          <w:color w:val="auto"/>
        </w:rPr>
      </w:pPr>
      <w:r>
        <w:rPr>
          <w:rFonts w:ascii="Arial" w:cs="Arial" w:eastAsia="Arial" w:hAnsi="Arial"/>
          <w:sz w:val="13"/>
          <w:szCs w:val="13"/>
          <w:color w:val="auto"/>
        </w:rPr>
        <w:t>We may seek additional capital through a variety of means, including through public or private equity, debt financings or other sources, including up-front payments and milestone payments from strategic collaborations, license agreements and royalty agreements. To the extent that we raise additional capital through the sale of equity or convertible debt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Managing Growth, Operations and Macroeconomic Conditions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must attract and retain highly skilled employees in order to succeed.</w:t>
      </w:r>
    </w:p>
    <w:p>
      <w:pPr>
        <w:spacing w:after="0" w:line="98" w:lineRule="exact"/>
        <w:rPr>
          <w:sz w:val="20"/>
          <w:szCs w:val="20"/>
          <w:color w:val="auto"/>
        </w:rPr>
      </w:pPr>
    </w:p>
    <w:p>
      <w:pPr>
        <w:ind w:right="20" w:firstLine="382"/>
        <w:spacing w:after="0" w:line="255" w:lineRule="auto"/>
        <w:rPr>
          <w:sz w:val="20"/>
          <w:szCs w:val="20"/>
          <w:color w:val="auto"/>
        </w:rPr>
      </w:pPr>
      <w:r>
        <w:rPr>
          <w:rFonts w:ascii="Arial" w:cs="Arial" w:eastAsia="Arial" w:hAnsi="Arial"/>
          <w:sz w:val="14"/>
          <w:szCs w:val="14"/>
          <w:color w:val="auto"/>
        </w:rPr>
        <w:t>To succeed, we must recruit, retain, manage and motivate qualified clinical, scientific, technical and management personnel, and we face significant competition for experienced personnel. This is especially critical as we ramp up our hiring needs entering into later-stage product development of our product candidates. If we do not succeed in attracting and retaining qualified personnel, particularly at the management level, it could adversely affect our ability to execute our business plan, harm our operating results and adversely affect our ability to successfully commercialize our product candidates. In particular, we believe that our future success is highly dependent upon the contributions of our senior management, particularly our Interim President and Chief Executive Officer, as well as our senior scientists. The loss of services of any of these individuals, who all have at-will employment arrangements with us, could delay or prevent the successful development of our product pipeline, completion of our planned clinical trials or the commercialization of our product candidates, if approved. In March 2022, Daniel Faga, a Class I director of our Board, was appointed as our Interim President and Chief Executive Officer. We may in the future conduct a search to identify a permanent replacement to serve as our President and Chief Executive Officer. The competition for qualified personnel in the biotechnology field is intense and, as a result, we may be unable to continue to attract and retain qualified personnel necessary for the development of our business or to recruit suitable replacement personnel, permanent replacement to serve as our President and Chief Executive Officer. In addition, certain members of our senior management team have worked together for only a relatively short period of time, and it may be difficult to evaluate their effectiveness, on an individual or collective basis, and ability to address future challenges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7" w:right="339" w:bottom="1440" w:gutter="0" w:footer="0" w:header="0"/>
        </w:sectPr>
      </w:pPr>
    </w:p>
    <w:bookmarkStart w:id="51" w:name="page52"/>
    <w:bookmarkEnd w:id="51"/>
    <w:p>
      <w:pPr>
        <w:ind w:right="180" w:firstLine="382"/>
        <w:spacing w:after="0" w:line="262" w:lineRule="auto"/>
        <w:rPr>
          <w:sz w:val="20"/>
          <w:szCs w:val="20"/>
          <w:color w:val="auto"/>
        </w:rPr>
      </w:pPr>
      <w:r>
        <w:rPr>
          <w:rFonts w:ascii="Arial" w:cs="Arial" w:eastAsia="Arial" w:hAnsi="Arial"/>
          <w:sz w:val="14"/>
          <w:szCs w:val="14"/>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42" w:lineRule="exact"/>
        <w:rPr>
          <w:sz w:val="20"/>
          <w:szCs w:val="20"/>
          <w:color w:val="auto"/>
        </w:rPr>
      </w:pPr>
    </w:p>
    <w:p>
      <w:pPr>
        <w:ind w:right="300"/>
        <w:spacing w:after="0" w:line="287" w:lineRule="auto"/>
        <w:rPr>
          <w:sz w:val="20"/>
          <w:szCs w:val="20"/>
          <w:color w:val="auto"/>
        </w:rPr>
      </w:pPr>
      <w:r>
        <w:rPr>
          <w:rFonts w:ascii="Arial" w:cs="Arial" w:eastAsia="Arial" w:hAnsi="Arial"/>
          <w:sz w:val="14"/>
          <w:szCs w:val="14"/>
          <w:b w:val="1"/>
          <w:bCs w:val="1"/>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43" w:lineRule="exact"/>
        <w:rPr>
          <w:sz w:val="20"/>
          <w:szCs w:val="20"/>
          <w:color w:val="auto"/>
        </w:rPr>
      </w:pPr>
    </w:p>
    <w:p>
      <w:pPr>
        <w:ind w:firstLine="382"/>
        <w:spacing w:after="0" w:line="277" w:lineRule="auto"/>
        <w:rPr>
          <w:sz w:val="20"/>
          <w:szCs w:val="20"/>
          <w:color w:val="auto"/>
        </w:rPr>
      </w:pPr>
      <w:r>
        <w:rPr>
          <w:rFonts w:ascii="Arial" w:cs="Arial" w:eastAsia="Arial" w:hAnsi="Arial"/>
          <w:sz w:val="13"/>
          <w:szCs w:val="13"/>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executive officers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 expect to expand our development and regulatory capabilities, and as a result, we may encounter difficulties in managing our growth, which could disrupt our operations.</w:t>
      </w:r>
    </w:p>
    <w:p>
      <w:pPr>
        <w:spacing w:after="0" w:line="109" w:lineRule="exact"/>
        <w:rPr>
          <w:sz w:val="20"/>
          <w:szCs w:val="20"/>
          <w:color w:val="auto"/>
        </w:rPr>
      </w:pPr>
    </w:p>
    <w:p>
      <w:pPr>
        <w:ind w:right="20" w:firstLine="382"/>
        <w:spacing w:after="0" w:line="284" w:lineRule="auto"/>
        <w:rPr>
          <w:sz w:val="20"/>
          <w:szCs w:val="20"/>
          <w:color w:val="auto"/>
        </w:rPr>
      </w:pPr>
      <w:r>
        <w:rPr>
          <w:rFonts w:ascii="Arial" w:cs="Arial" w:eastAsia="Arial" w:hAnsi="Arial"/>
          <w:sz w:val="13"/>
          <w:szCs w:val="13"/>
          <w:color w:val="auto"/>
        </w:rPr>
        <w:t>We expect to experience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be vulnerable to disruption, damage and financial obligation as a result of system failures.</w:t>
      </w:r>
    </w:p>
    <w:p>
      <w:pPr>
        <w:spacing w:after="0" w:line="98" w:lineRule="exact"/>
        <w:rPr>
          <w:sz w:val="20"/>
          <w:szCs w:val="20"/>
          <w:color w:val="auto"/>
        </w:rPr>
      </w:pPr>
    </w:p>
    <w:p>
      <w:pPr>
        <w:ind w:right="20" w:firstLine="382"/>
        <w:spacing w:after="0" w:line="280" w:lineRule="auto"/>
        <w:rPr>
          <w:sz w:val="20"/>
          <w:szCs w:val="20"/>
          <w:color w:val="auto"/>
        </w:rPr>
      </w:pPr>
      <w:r>
        <w:rPr>
          <w:rFonts w:ascii="Arial" w:cs="Arial" w:eastAsia="Arial" w:hAnsi="Arial"/>
          <w:sz w:val="13"/>
          <w:szCs w:val="13"/>
          <w:color w:val="auto"/>
        </w:rPr>
        <w:t>Despite the implementation of security measures, any of the internal computer systems belonging to us, our collaborators or our third-party service providers are vulnerable to damage from computer viruses, unauthorized access, natural disasters, terrorism, war and telecommunication and electrical failure. Any system failure, accident or security breach that causes interruptions in our own, in collaborators’ or in third-party service vendors’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17" w:right="359" w:bottom="1440" w:gutter="0" w:footer="0" w:header="0"/>
        </w:sectPr>
      </w:pPr>
    </w:p>
    <w:bookmarkStart w:id="52" w:name="page53"/>
    <w:bookmarkEnd w:id="52"/>
    <w:p>
      <w:pPr>
        <w:ind w:right="100"/>
        <w:spacing w:after="0" w:line="287" w:lineRule="auto"/>
        <w:rPr>
          <w:sz w:val="20"/>
          <w:szCs w:val="20"/>
          <w:color w:val="auto"/>
        </w:rPr>
      </w:pPr>
      <w:r>
        <w:rPr>
          <w:rFonts w:ascii="Arial" w:cs="Arial" w:eastAsia="Arial" w:hAnsi="Arial"/>
          <w:sz w:val="14"/>
          <w:szCs w:val="14"/>
          <w:b w:val="1"/>
          <w:bCs w:val="1"/>
          <w:color w:val="auto"/>
        </w:rPr>
        <w:t>Our operations, or the third parties upon whom we depend, are vulnerable to interruption by fire, earthquake, power loss, telecommunications failure, terrorist activity, health epidemics or pandemics and other events beyond our control, which could harm our business.</w:t>
      </w:r>
    </w:p>
    <w:p>
      <w:pPr>
        <w:spacing w:after="0" w:line="43" w:lineRule="exact"/>
        <w:rPr>
          <w:sz w:val="20"/>
          <w:szCs w:val="20"/>
          <w:color w:val="auto"/>
        </w:rPr>
      </w:pPr>
    </w:p>
    <w:p>
      <w:pPr>
        <w:ind w:right="20" w:firstLine="382"/>
        <w:spacing w:after="0" w:line="309" w:lineRule="auto"/>
        <w:rPr>
          <w:sz w:val="20"/>
          <w:szCs w:val="20"/>
          <w:color w:val="auto"/>
        </w:rPr>
      </w:pPr>
      <w:r>
        <w:rPr>
          <w:rFonts w:ascii="Arial" w:cs="Arial" w:eastAsia="Arial" w:hAnsi="Arial"/>
          <w:sz w:val="12"/>
          <w:szCs w:val="12"/>
          <w:color w:val="auto"/>
        </w:rPr>
        <w:t>Our facilities are located in San Diego, California, which is a seismically active region, and has also historically been subject to wildfires and electrical blackouts as a result of a shortage of available electrical power. We have not undertaken a systematic analysis of the potential consequences to our business and financial results from a major earthquake, fire, power loss, terrorist activity, health epidemics or pandemics such as the COVID-19 pandemic or other disasters, including those resulting from or amplified by climate change,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facility was impacted by a seismic or wildfire event, we could lose some of our antibody sequences, which would have an adverse effect on our ability to perform our obligations under our collaborations and discover new targets.</w:t>
      </w:r>
    </w:p>
    <w:p>
      <w:pPr>
        <w:spacing w:after="0" w:line="37" w:lineRule="exact"/>
        <w:rPr>
          <w:sz w:val="20"/>
          <w:szCs w:val="20"/>
          <w:color w:val="auto"/>
        </w:rPr>
      </w:pPr>
    </w:p>
    <w:p>
      <w:pPr>
        <w:ind w:right="120" w:firstLine="382"/>
        <w:spacing w:after="0" w:line="281" w:lineRule="auto"/>
        <w:rPr>
          <w:sz w:val="20"/>
          <w:szCs w:val="20"/>
          <w:color w:val="auto"/>
        </w:rPr>
      </w:pPr>
      <w:r>
        <w:rPr>
          <w:rFonts w:ascii="Arial" w:cs="Arial" w:eastAsia="Arial" w:hAnsi="Arial"/>
          <w:sz w:val="14"/>
          <w:szCs w:val="14"/>
          <w:color w:val="auto"/>
        </w:rPr>
        <w:t>Furthermore, integral parties in our supply chain are geographically concentrated and operating from single sites, increasing their vulnerability to natural disasters or other sudden, unforeseen and severe and/or serious adverse events. If such an event were to affect our supply chain, it could have a material adverse effect on our business.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Dependence on Third Parties</w:t>
      </w:r>
    </w:p>
    <w:p>
      <w:pPr>
        <w:spacing w:after="0" w:line="94" w:lineRule="exact"/>
        <w:rPr>
          <w:sz w:val="20"/>
          <w:szCs w:val="20"/>
          <w:color w:val="auto"/>
        </w:rPr>
      </w:pPr>
    </w:p>
    <w:p>
      <w:pPr>
        <w:ind w:right="580"/>
        <w:spacing w:after="0" w:line="287" w:lineRule="auto"/>
        <w:rPr>
          <w:sz w:val="20"/>
          <w:szCs w:val="20"/>
          <w:color w:val="auto"/>
        </w:rPr>
      </w:pPr>
      <w:r>
        <w:rPr>
          <w:rFonts w:ascii="Arial" w:cs="Arial" w:eastAsia="Arial" w:hAnsi="Arial"/>
          <w:sz w:val="14"/>
          <w:szCs w:val="14"/>
          <w:b w:val="1"/>
          <w:bCs w:val="1"/>
          <w:color w:val="auto"/>
        </w:rPr>
        <w:t>Our existing collaboration with GSK is important to our business, and future collaborations may also be important to us. If we are unable to maintain this collaboration, or if this collaboration is not successful, our business could be adversely affected.</w:t>
      </w:r>
    </w:p>
    <w:p>
      <w:pPr>
        <w:spacing w:after="0" w:line="43" w:lineRule="exact"/>
        <w:rPr>
          <w:sz w:val="20"/>
          <w:szCs w:val="20"/>
          <w:color w:val="auto"/>
        </w:rPr>
      </w:pPr>
    </w:p>
    <w:p>
      <w:pPr>
        <w:ind w:right="140" w:firstLine="382"/>
        <w:spacing w:after="0" w:line="267" w:lineRule="auto"/>
        <w:rPr>
          <w:sz w:val="20"/>
          <w:szCs w:val="20"/>
          <w:color w:val="auto"/>
        </w:rPr>
      </w:pPr>
      <w:r>
        <w:rPr>
          <w:rFonts w:ascii="Arial" w:cs="Arial" w:eastAsia="Arial" w:hAnsi="Arial"/>
          <w:sz w:val="14"/>
          <w:szCs w:val="14"/>
          <w:color w:val="auto"/>
        </w:rPr>
        <w:t>We have entered into a collaboration with GSK to develop several of our product candidates. GSK has advanced multiple antibodies generated through our collaboration into clinical trials. If our collaboration with GSK were terminated, we may not receive all or any of the funding potentially coming from such collaboration, which could adversely affect our business or financial condition. Our operational obligations under each of our collaborations has ended.</w:t>
      </w:r>
    </w:p>
    <w:p>
      <w:pPr>
        <w:spacing w:after="0" w:line="57" w:lineRule="exact"/>
        <w:rPr>
          <w:sz w:val="20"/>
          <w:szCs w:val="20"/>
          <w:color w:val="auto"/>
        </w:rPr>
      </w:pPr>
    </w:p>
    <w:p>
      <w:pPr>
        <w:ind w:firstLine="382"/>
        <w:spacing w:after="0" w:line="297" w:lineRule="auto"/>
        <w:rPr>
          <w:sz w:val="20"/>
          <w:szCs w:val="20"/>
          <w:color w:val="auto"/>
        </w:rPr>
      </w:pPr>
      <w:r>
        <w:rPr>
          <w:rFonts w:ascii="Arial" w:cs="Arial" w:eastAsia="Arial" w:hAnsi="Arial"/>
          <w:sz w:val="12"/>
          <w:szCs w:val="12"/>
          <w:color w:val="auto"/>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 future could delay development programs, create uncertainty as to ownership of intellectual property rights, distract management from other business activities and generate substantial expense. For example, in August 2020, we served notice on GSK related to an alleged breach of our collaboration agreement in connection with GSK’s use of certain antibodies originally developed by us for the development of a drug not covered by the agreement. We</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subsequently settled this matter in October 2020, but </w:t>
      </w:r>
      <w:r>
        <w:rPr>
          <w:rFonts w:ascii="Arial" w:cs="Arial" w:eastAsia="Arial" w:hAnsi="Arial"/>
          <w:sz w:val="15"/>
          <w:szCs w:val="15"/>
          <w:color w:val="auto"/>
        </w:rPr>
        <w:t>t</w:t>
      </w:r>
      <w:r>
        <w:rPr>
          <w:rFonts w:ascii="Arial" w:cs="Arial" w:eastAsia="Arial" w:hAnsi="Arial"/>
          <w:sz w:val="13"/>
          <w:szCs w:val="13"/>
          <w:color w:val="auto"/>
        </w:rPr>
        <w:t>here can be no assurance that we will not encounter such issues under our collaborations with GSK or other parties in the future.</w:t>
      </w:r>
    </w:p>
    <w:p>
      <w:pPr>
        <w:spacing w:after="0" w:line="185" w:lineRule="exact"/>
        <w:rPr>
          <w:sz w:val="20"/>
          <w:szCs w:val="20"/>
          <w:color w:val="auto"/>
        </w:rPr>
      </w:pPr>
    </w:p>
    <w:p>
      <w:pPr>
        <w:ind w:right="100"/>
        <w:spacing w:after="0" w:line="287" w:lineRule="auto"/>
        <w:rPr>
          <w:sz w:val="20"/>
          <w:szCs w:val="20"/>
          <w:color w:val="auto"/>
        </w:rPr>
      </w:pPr>
      <w:r>
        <w:rPr>
          <w:rFonts w:ascii="Arial" w:cs="Arial" w:eastAsia="Arial" w:hAnsi="Arial"/>
          <w:sz w:val="14"/>
          <w:szCs w:val="14"/>
          <w:b w:val="1"/>
          <w:bCs w:val="1"/>
          <w:color w:val="auto"/>
        </w:rPr>
        <w:t>We may not succeed in establishing and maintaining additional development and commercialization collaborations, which could adversely affect our ability to develop and commercialize product candidates.</w:t>
      </w:r>
    </w:p>
    <w:p>
      <w:pPr>
        <w:spacing w:after="0" w:line="43" w:lineRule="exact"/>
        <w:rPr>
          <w:sz w:val="20"/>
          <w:szCs w:val="20"/>
          <w:color w:val="auto"/>
        </w:rPr>
      </w:pPr>
    </w:p>
    <w:p>
      <w:pPr>
        <w:ind w:right="60" w:firstLine="382"/>
        <w:spacing w:after="0" w:line="258" w:lineRule="auto"/>
        <w:rPr>
          <w:sz w:val="20"/>
          <w:szCs w:val="20"/>
          <w:color w:val="auto"/>
        </w:rPr>
      </w:pPr>
      <w:r>
        <w:rPr>
          <w:rFonts w:ascii="Arial" w:cs="Arial" w:eastAsia="Arial" w:hAnsi="Arial"/>
          <w:sz w:val="14"/>
          <w:szCs w:val="14"/>
          <w:color w:val="auto"/>
        </w:rPr>
        <w:t>In addition to our current licensing arrangements, a part of our strategy is to enter into additional strategic product development and commercialization collaborations in the future, including collaborations to broaden and accelerate clinical development and potential commercialization of our product candidates. We may face significant competition in seeking appropriate development partners, and the negotiation process is time-consuming and complex. Moreover, we may not succeed in our efforts to establish collaborations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or to be commercially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8" w:right="319" w:bottom="1440" w:gutter="0" w:footer="0" w:header="0"/>
        </w:sectPr>
      </w:pPr>
    </w:p>
    <w:bookmarkStart w:id="53" w:name="page54"/>
    <w:bookmarkEnd w:id="53"/>
    <w:p>
      <w:pPr>
        <w:ind w:right="40"/>
        <w:spacing w:after="0" w:line="297" w:lineRule="auto"/>
        <w:rPr>
          <w:sz w:val="20"/>
          <w:szCs w:val="20"/>
          <w:color w:val="auto"/>
        </w:rPr>
      </w:pPr>
      <w:r>
        <w:rPr>
          <w:rFonts w:ascii="Arial" w:cs="Arial" w:eastAsia="Arial" w:hAnsi="Arial"/>
          <w:sz w:val="13"/>
          <w:szCs w:val="13"/>
          <w:color w:val="auto"/>
        </w:rPr>
        <w:t>viable. Even if we are successful in our efforts to establish new collaborations, the terms that we agree upon may not be favorable to us, and we may not be able to maintain such collaborations if, for example, development or approval of a product candidate is delayed or sales of an approved product candidate are disappointing. Any delay in entering into new collaboration agreements related to our product candidates could delay the development and commercialization of our product candidates and reduce their competitiveness if they reach the market.</w:t>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Moreover, if we fail to establish and maintain additional collaborations related to our product candidates:</w:t>
      </w:r>
    </w:p>
    <w:p>
      <w:pPr>
        <w:spacing w:after="0" w:line="94" w:lineRule="exact"/>
        <w:rPr>
          <w:sz w:val="20"/>
          <w:szCs w:val="20"/>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development of certain of our current or future product candidates may be terminated or delayed;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our cash expenditures related to development of certain of our current or future product candidates would increase significantly and we may need to seek additional financing;</w:t>
      </w:r>
    </w:p>
    <w:p>
      <w:pPr>
        <w:spacing w:after="0" w:line="105" w:lineRule="exact"/>
        <w:rPr>
          <w:rFonts w:ascii="Arial" w:cs="Arial" w:eastAsia="Arial" w:hAnsi="Arial"/>
          <w:sz w:val="13"/>
          <w:szCs w:val="13"/>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we may be required to hire additional employees or otherwise develop expertise, such as sales and marketing expertise, for which we have not budgeted;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we will bear all of the risk related to the development and commercialization of any such product candidates.</w:t>
      </w:r>
    </w:p>
    <w:p>
      <w:pPr>
        <w:spacing w:after="0" w:line="175" w:lineRule="exact"/>
        <w:rPr>
          <w:sz w:val="20"/>
          <w:szCs w:val="20"/>
          <w:color w:val="auto"/>
        </w:rPr>
      </w:pPr>
    </w:p>
    <w:p>
      <w:pPr>
        <w:ind w:right="120"/>
        <w:spacing w:after="0" w:line="372" w:lineRule="auto"/>
        <w:rPr>
          <w:sz w:val="20"/>
          <w:szCs w:val="20"/>
          <w:color w:val="auto"/>
        </w:rPr>
      </w:pPr>
      <w:r>
        <w:rPr>
          <w:rFonts w:ascii="Arial" w:cs="Arial" w:eastAsia="Arial" w:hAnsi="Arial"/>
          <w:sz w:val="12"/>
          <w:szCs w:val="12"/>
          <w:b w:val="1"/>
          <w:bCs w:val="1"/>
          <w:color w:val="auto"/>
        </w:rPr>
        <w:t>If third parties on which we depend to conduct our planned preclinical studies and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1" w:lineRule="exact"/>
        <w:rPr>
          <w:sz w:val="20"/>
          <w:szCs w:val="20"/>
          <w:color w:val="auto"/>
        </w:rPr>
      </w:pPr>
    </w:p>
    <w:p>
      <w:pPr>
        <w:ind w:right="40" w:firstLine="382"/>
        <w:spacing w:after="0" w:line="280" w:lineRule="auto"/>
        <w:rPr>
          <w:sz w:val="20"/>
          <w:szCs w:val="20"/>
          <w:color w:val="auto"/>
        </w:rPr>
      </w:pPr>
      <w:r>
        <w:rPr>
          <w:rFonts w:ascii="Arial" w:cs="Arial" w:eastAsia="Arial" w:hAnsi="Arial"/>
          <w:sz w:val="13"/>
          <w:szCs w:val="13"/>
          <w:color w:val="auto"/>
        </w:rPr>
        <w:t>We rely on third party clinical investigators, CROs, CMOs and consultants to design, conduct, supervise and monitor key activities relating to, discovery, manufacturing, non-clinical studies and clinical trials of our product candidates, and we intend to do the same for future activities relating to existing and future programs. Because we rely on third parties and do not have the ability to conduct all required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discovery, manufacturing, preclinical studies or clinical trials being delayed or unsuccessful, in whole or in part.</w:t>
      </w:r>
    </w:p>
    <w:p>
      <w:pPr>
        <w:spacing w:after="0" w:line="52" w:lineRule="exact"/>
        <w:rPr>
          <w:sz w:val="20"/>
          <w:szCs w:val="20"/>
          <w:color w:val="auto"/>
        </w:rPr>
      </w:pPr>
    </w:p>
    <w:p>
      <w:pPr>
        <w:ind w:firstLine="382"/>
        <w:spacing w:after="0" w:line="260" w:lineRule="auto"/>
        <w:rPr>
          <w:sz w:val="20"/>
          <w:szCs w:val="20"/>
          <w:color w:val="auto"/>
        </w:rPr>
      </w:pPr>
      <w:r>
        <w:rPr>
          <w:rFonts w:ascii="Arial" w:cs="Arial" w:eastAsia="Arial" w:hAnsi="Arial"/>
          <w:sz w:val="14"/>
          <w:szCs w:val="14"/>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rely completely on third parties to manufacture our nonclinical, clinical and future commercial drug supplies of any approved products.</w:t>
      </w:r>
    </w:p>
    <w:p>
      <w:pPr>
        <w:spacing w:after="0" w:line="98" w:lineRule="exact"/>
        <w:rPr>
          <w:sz w:val="20"/>
          <w:szCs w:val="20"/>
          <w:color w:val="auto"/>
        </w:rPr>
      </w:pPr>
    </w:p>
    <w:p>
      <w:pPr>
        <w:ind w:right="20" w:firstLine="382"/>
        <w:spacing w:after="0" w:line="279" w:lineRule="auto"/>
        <w:rPr>
          <w:sz w:val="20"/>
          <w:szCs w:val="20"/>
          <w:color w:val="auto"/>
        </w:rPr>
      </w:pPr>
      <w:r>
        <w:rPr>
          <w:rFonts w:ascii="Arial" w:cs="Arial" w:eastAsia="Arial" w:hAnsi="Arial"/>
          <w:sz w:val="13"/>
          <w:szCs w:val="13"/>
          <w:color w:val="auto"/>
        </w:rPr>
        <w:t>We outsource the manufacture of our product candidates. We do not currently have the infrastructure or internal capability to manufacture supplies of our product candidates for use in development and commercialization. If we were to experience an unexpected loss of supply of our product candidates for any reason, whether as a result of manufacturing, supply or storage issues or otherwise, our business would be harmed, and we could experience delays, disruptions, suspensions or terminations of, or be required to restart or repeat, any pending or ongoing clinical trials. Although we generally do not begin a clinical trial unless we believe we have a sufficient supply of a product candidate to complete the clinical trial, we may be required to manufacture additional supplies of our product candidates to the extent our estimates of the amounts required prove inaccurate, we suffer unexpected losses of product candidate supplies, or we are required to have fresh product candidate supplies manufactured to satisfy regulatory requirements or specifications. Any significant delay or discontinuation in the supply of a product candidate, or the raw material components thereof, due to the need to replace a contract manufacturer or other third-party manufacturer, could considerably harm our business and ability to generate revenue and delay completion of our clinical trials, product testing and potential regulatory approval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7" w:right="339" w:bottom="1440" w:gutter="0" w:footer="0" w:header="0"/>
        </w:sectPr>
      </w:pPr>
    </w:p>
    <w:bookmarkStart w:id="54" w:name="page55"/>
    <w:bookmarkEnd w:id="54"/>
    <w:p>
      <w:pPr>
        <w:jc w:val="both"/>
        <w:ind w:right="160" w:firstLine="382"/>
        <w:spacing w:after="0" w:line="267" w:lineRule="auto"/>
        <w:rPr>
          <w:sz w:val="20"/>
          <w:szCs w:val="20"/>
          <w:color w:val="auto"/>
        </w:rPr>
      </w:pPr>
      <w:r>
        <w:rPr>
          <w:rFonts w:ascii="Arial" w:cs="Arial" w:eastAsia="Arial" w:hAnsi="Arial"/>
          <w:sz w:val="14"/>
          <w:szCs w:val="14"/>
          <w:color w:val="auto"/>
        </w:rPr>
        <w:t>Any delays in our preclinical or clinical development could lead to delays or cancellations of forecasted manufacturing batches, which would typically result in significant fees owed by us to the manufacture and an uncertainty as to when the manufacturer will have the availability for a new time slot to manufacture the batch, which could lead to further delays in the development of the product candidate and have an adverse effect on our business.</w:t>
      </w:r>
    </w:p>
    <w:p>
      <w:pPr>
        <w:spacing w:after="0" w:line="57" w:lineRule="exact"/>
        <w:rPr>
          <w:sz w:val="20"/>
          <w:szCs w:val="20"/>
          <w:color w:val="auto"/>
        </w:rPr>
      </w:pPr>
    </w:p>
    <w:p>
      <w:pPr>
        <w:ind w:firstLine="382"/>
        <w:spacing w:after="0" w:line="319" w:lineRule="auto"/>
        <w:rPr>
          <w:sz w:val="20"/>
          <w:szCs w:val="20"/>
          <w:color w:val="auto"/>
        </w:rPr>
      </w:pPr>
      <w:r>
        <w:rPr>
          <w:rFonts w:ascii="Arial" w:cs="Arial" w:eastAsia="Arial" w:hAnsi="Arial"/>
          <w:sz w:val="12"/>
          <w:szCs w:val="12"/>
          <w:color w:val="auto"/>
        </w:rPr>
        <w:t>Reliance on third-party manufacturers entails additional risks, including the possible breach of the manufacturing agreement by the third party and the possible termination or nonrenewal of the agreement by the manufacturer at a time that is costly or inconvenient for us. If our contract manufacturers were to breach or terminate their manufacturing arrangements with us, the development or commercialization of the affected product candidates could be significantly delayed, which could have an adverse effect on our business. Any change in our manufacturers could be costly because the commercial terms of any new arrangement could be less favorable and because the expenses relating to the transfer of necessary technology and processes could be significant.</w:t>
      </w:r>
    </w:p>
    <w:p>
      <w:pPr>
        <w:spacing w:after="0" w:line="111" w:lineRule="exact"/>
        <w:rPr>
          <w:sz w:val="20"/>
          <w:szCs w:val="20"/>
          <w:color w:val="auto"/>
        </w:rPr>
      </w:pPr>
    </w:p>
    <w:p>
      <w:pPr>
        <w:ind w:right="380"/>
        <w:spacing w:after="0" w:line="287" w:lineRule="auto"/>
        <w:rPr>
          <w:sz w:val="20"/>
          <w:szCs w:val="20"/>
          <w:color w:val="auto"/>
        </w:rPr>
      </w:pPr>
      <w:r>
        <w:rPr>
          <w:rFonts w:ascii="Arial" w:cs="Arial" w:eastAsia="Arial" w:hAnsi="Arial"/>
          <w:sz w:val="14"/>
          <w:szCs w:val="14"/>
          <w:b w:val="1"/>
          <w:bCs w:val="1"/>
          <w:color w:val="auto"/>
        </w:rPr>
        <w:t>We depend on a small number of suppliers for the raw materials necessary to produce our product candidates. The loss of these suppliers, or their failure to supply us with these raw materials, would materially and adversely affect our business.</w:t>
      </w:r>
    </w:p>
    <w:p>
      <w:pPr>
        <w:spacing w:after="0" w:line="43" w:lineRule="exact"/>
        <w:rPr>
          <w:sz w:val="20"/>
          <w:szCs w:val="20"/>
          <w:color w:val="auto"/>
        </w:rPr>
      </w:pPr>
    </w:p>
    <w:p>
      <w:pPr>
        <w:ind w:right="60" w:firstLine="382"/>
        <w:spacing w:after="0" w:line="257" w:lineRule="auto"/>
        <w:rPr>
          <w:sz w:val="20"/>
          <w:szCs w:val="20"/>
          <w:color w:val="auto"/>
        </w:rPr>
      </w:pPr>
      <w:r>
        <w:rPr>
          <w:rFonts w:ascii="Arial" w:cs="Arial" w:eastAsia="Arial" w:hAnsi="Arial"/>
          <w:sz w:val="14"/>
          <w:szCs w:val="14"/>
          <w:color w:val="auto"/>
        </w:rPr>
        <w:t>We depend on the availability of key raw materials for our product candidates from a small number of third-party suppliers. Because there are a limited number of suppliers for the raw materials that we use to manufacture our product candidates, we may need to engage alternate suppliers to prevent a possible disruption of the manufacture of the materials necessary to produce our product candidates for our clinical trials. We do not have any control over the availability of raw materials. If we or our manufacturers are unable to purchase these raw materials on acceptable terms, at sufficient quality levels, or in adequate quantities, if at all, the development of our product candidates would be delayed or there would be a shortage in supply, which would impair our ability to meet our development objectives for our product candidates or generate revenues from the sale of any approved products. If either we or any third-parties in the supply chain for materials used in the production of our product candidates are disrupted, including by political, economic or public health events, such as the COVID-19 pandemic, it could limit our ability to manufacture our product candidates for our preclinical or clinical studies.</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Regulatory Approval of Our Product Candidates and Other Legal Compliance Matters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Even if our product candidates receive regulatory approval, they will be subject to significant post-marketing regulatory requirements.</w:t>
      </w:r>
    </w:p>
    <w:p>
      <w:pPr>
        <w:spacing w:after="0" w:line="98" w:lineRule="exact"/>
        <w:rPr>
          <w:sz w:val="20"/>
          <w:szCs w:val="20"/>
          <w:color w:val="auto"/>
        </w:rPr>
      </w:pPr>
    </w:p>
    <w:p>
      <w:pPr>
        <w:ind w:firstLine="382"/>
        <w:spacing w:after="0" w:line="276" w:lineRule="auto"/>
        <w:rPr>
          <w:sz w:val="20"/>
          <w:szCs w:val="20"/>
          <w:color w:val="auto"/>
        </w:rPr>
      </w:pPr>
      <w:r>
        <w:rPr>
          <w:rFonts w:ascii="Arial" w:cs="Arial" w:eastAsia="Arial" w:hAnsi="Arial"/>
          <w:sz w:val="13"/>
          <w:szCs w:val="13"/>
          <w:color w:val="auto"/>
        </w:rPr>
        <w:t>Any regulatory approvals that we or our collaborators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good clinical practices for any clinical trials that we conduct post-approval. In addition, manufacturers of drug products and their facilities are subject to continual review and periodic inspections by the FDA and other regulatory authorities for compliance with cGMP regulations and standards. If we, our collaborators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or our collaborators, including requiring recall or withdrawal of the product from the market or suspension of manufacturing. In addition, failure to comply with FDA and foreign regulatory requirements may, either before or after product approval, if any, subject our company or our collaborators to administrative or judicially imposed sanctions, including:</w:t>
      </w:r>
    </w:p>
    <w:p>
      <w:pPr>
        <w:spacing w:after="0" w:line="59" w:lineRule="exact"/>
        <w:rPr>
          <w:sz w:val="20"/>
          <w:szCs w:val="20"/>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restrictions on our ability to conduct clinical trials, including full or partial clinical holds on ongoing or planned trials;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restrictions on the products, manufacturers or manufacturing process;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warning or untitled letters;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55" w:name="page56"/>
    <w:bookmarkEnd w:id="55"/>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civil and criminal penalties;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injunctions;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suspension or withdrawal of regulatory approvals;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product seizures, detentions or import bans;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voluntary or mandatory product recalls and publicity requirements;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total or partial suspension of production;</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imposition of restrictions on operations, including costly new manufacturing requirements;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refusal to approve pending BLAs or supplements to approved BLAs.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occurrence of any event or penalty described above may inhibit our ability, alone or with our collaborators, to commercialize our product candidates and generate revenue.</w:t>
      </w:r>
    </w:p>
    <w:p>
      <w:pPr>
        <w:spacing w:after="0" w:line="94" w:lineRule="exact"/>
        <w:rPr>
          <w:sz w:val="20"/>
          <w:szCs w:val="20"/>
          <w:color w:val="auto"/>
        </w:rPr>
      </w:pPr>
    </w:p>
    <w:p>
      <w:pPr>
        <w:ind w:right="100" w:firstLine="318"/>
        <w:spacing w:after="0" w:line="262" w:lineRule="auto"/>
        <w:rPr>
          <w:sz w:val="20"/>
          <w:szCs w:val="20"/>
          <w:color w:val="auto"/>
        </w:rPr>
      </w:pPr>
      <w:r>
        <w:rPr>
          <w:rFonts w:ascii="Arial" w:cs="Arial" w:eastAsia="Arial" w:hAnsi="Arial"/>
          <w:sz w:val="14"/>
          <w:szCs w:val="14"/>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61" w:lineRule="exact"/>
        <w:rPr>
          <w:sz w:val="20"/>
          <w:szCs w:val="20"/>
          <w:color w:val="auto"/>
        </w:rPr>
      </w:pPr>
    </w:p>
    <w:p>
      <w:pPr>
        <w:ind w:firstLine="382"/>
        <w:spacing w:after="0" w:line="277" w:lineRule="auto"/>
        <w:rPr>
          <w:sz w:val="20"/>
          <w:szCs w:val="20"/>
          <w:color w:val="auto"/>
        </w:rPr>
      </w:pPr>
      <w:r>
        <w:rPr>
          <w:rFonts w:ascii="Arial" w:cs="Arial" w:eastAsia="Arial" w:hAnsi="Arial"/>
          <w:sz w:val="13"/>
          <w:szCs w:val="13"/>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Such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 care programs. In addition, we may incur liability from claims initiated under the Lanham Act or other federal and state unfair competition laws with respect to how our products are marketed and promoted. Furthermore, the off-label use of our products may increase the risk of product liability claims. If we do not lawfully promote our approved products, we may become subject to such litigation and, if we do not successfully defend against such actions, those actions may have an adverse effect on our business, financial condition and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failure to obtain regulatory approval in international jurisdictions would prevent us or our collaborators from marketing our product candidates outside the United States.</w:t>
      </w:r>
    </w:p>
    <w:p>
      <w:pPr>
        <w:spacing w:after="0" w:line="109" w:lineRule="exact"/>
        <w:rPr>
          <w:sz w:val="20"/>
          <w:szCs w:val="20"/>
          <w:color w:val="auto"/>
        </w:rPr>
      </w:pPr>
    </w:p>
    <w:p>
      <w:pPr>
        <w:ind w:firstLine="382"/>
        <w:spacing w:after="0" w:line="284" w:lineRule="auto"/>
        <w:rPr>
          <w:sz w:val="20"/>
          <w:szCs w:val="20"/>
          <w:color w:val="auto"/>
        </w:rPr>
      </w:pPr>
      <w:r>
        <w:rPr>
          <w:rFonts w:ascii="Arial" w:cs="Arial" w:eastAsia="Arial" w:hAnsi="Arial"/>
          <w:sz w:val="13"/>
          <w:szCs w:val="13"/>
          <w:color w:val="auto"/>
        </w:rPr>
        <w:t>In order to market and sell our products in other jurisdictions, we or our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or our collaborators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w:t>
      </w:r>
    </w:p>
    <w:p>
      <w:pPr>
        <w:spacing w:after="0" w:line="49" w:lineRule="exact"/>
        <w:rPr>
          <w:sz w:val="20"/>
          <w:szCs w:val="20"/>
          <w:color w:val="auto"/>
        </w:rPr>
      </w:pPr>
    </w:p>
    <w:p>
      <w:pPr>
        <w:ind w:right="40" w:firstLine="382"/>
        <w:spacing w:after="0" w:line="267" w:lineRule="auto"/>
        <w:rPr>
          <w:sz w:val="20"/>
          <w:szCs w:val="20"/>
          <w:color w:val="auto"/>
        </w:rPr>
      </w:pPr>
      <w:r>
        <w:rPr>
          <w:rFonts w:ascii="Arial" w:cs="Arial" w:eastAsia="Arial" w:hAnsi="Arial"/>
          <w:sz w:val="14"/>
          <w:szCs w:val="14"/>
          <w:color w:val="auto"/>
        </w:rPr>
        <w:t>If we or our collaborators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The failure to obtain approval of any of our product candidates by regulatory authorities in another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7"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color w:val="auto"/>
        </w:rPr>
        <w:t>country may significantly diminish the commercial prospects of that product candidate and our business prospects could decline.</w:t>
      </w:r>
    </w:p>
    <w:p>
      <w:pPr>
        <w:spacing w:after="0" w:line="175" w:lineRule="exact"/>
        <w:rPr>
          <w:sz w:val="20"/>
          <w:szCs w:val="20"/>
          <w:color w:val="auto"/>
        </w:rPr>
      </w:pPr>
    </w:p>
    <w:p>
      <w:pPr>
        <w:ind w:right="240"/>
        <w:spacing w:after="0" w:line="287" w:lineRule="auto"/>
        <w:rPr>
          <w:sz w:val="20"/>
          <w:szCs w:val="20"/>
          <w:color w:val="auto"/>
        </w:rPr>
      </w:pPr>
      <w:r>
        <w:rPr>
          <w:rFonts w:ascii="Arial" w:cs="Arial" w:eastAsia="Arial" w:hAnsi="Arial"/>
          <w:sz w:val="14"/>
          <w:szCs w:val="14"/>
          <w:b w:val="1"/>
          <w:bCs w:val="1"/>
          <w:color w:val="auto"/>
        </w:rPr>
        <w:t>We or our collaborators may not be able to maintain, for imsidolimab in GPP, or obtain, for any of our product candidates, Orphan Drug Designation or obtain the benefits associated with Orphan Drug status, including market exclusivity.</w:t>
      </w:r>
    </w:p>
    <w:p>
      <w:pPr>
        <w:spacing w:after="0" w:line="43" w:lineRule="exact"/>
        <w:rPr>
          <w:sz w:val="20"/>
          <w:szCs w:val="20"/>
          <w:color w:val="auto"/>
        </w:rPr>
      </w:pPr>
    </w:p>
    <w:p>
      <w:pPr>
        <w:ind w:right="20" w:firstLine="382"/>
        <w:spacing w:after="0" w:line="276" w:lineRule="auto"/>
        <w:rPr>
          <w:sz w:val="20"/>
          <w:szCs w:val="20"/>
          <w:color w:val="auto"/>
        </w:rPr>
      </w:pPr>
      <w:r>
        <w:rPr>
          <w:rFonts w:ascii="Arial" w:cs="Arial" w:eastAsia="Arial" w:hAnsi="Arial"/>
          <w:sz w:val="13"/>
          <w:szCs w:val="13"/>
          <w:color w:val="auto"/>
        </w:rPr>
        <w:t>Regulatory authorities in some jurisdictions, including the United States and the European Union (“EU”) may designate biologics for relatively small patient populations as orphan drugs. Under the Orphan Drug Act, the FDA may designate a biologic as an Orphan Drug if it is intended to treat a rare disease or condition, generally a disease or condition that (i) affects fewer than 200,000 individuals in the United States, or (ii) affects more than 200,000 individuals in the United States and there is no reasonable expectation that the cost of developing and making a product available in the United States for such disease or condition will be recovered from sales of the product. We received Orphan Drug Designation from the FDA for imsidolimab for our GPP indication in 2020 and may seek Orphan Drug Designation for certain of our other product candidates. In addition, we or our collaborators may seek Orphan Drug Designation for imsidolimab in other indications. Generally, if a biologic with an Orphan Drug Designation subsequently receives the first marketing approval for the indication for which it has such designation, the biologic is entitled to a period of marketing exclusivity, which precludes the FDA with respect to the United States or the EMA with respect to the EU from approving another marketing application for a drug containing the same active moiety for the same indication for that time period. The applicable period is seven years in the United States and ten years in the EU. The EU exclusivity period can be reduced to six years if a biologic no longer meets the criteria for Orphan Drug Designation or if the biologic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the Orphan Drug Designation does not convey any advantage in, or shorten the duration of, the regulatory review or approval process. Also, regulatory approval for any product candidate may be withdrawn and other candidates may obtain approval before us.</w:t>
      </w:r>
    </w:p>
    <w:p>
      <w:pPr>
        <w:spacing w:after="0" w:line="59" w:lineRule="exact"/>
        <w:rPr>
          <w:sz w:val="20"/>
          <w:szCs w:val="20"/>
          <w:color w:val="auto"/>
        </w:rPr>
      </w:pPr>
    </w:p>
    <w:p>
      <w:pPr>
        <w:ind w:right="240" w:firstLine="382"/>
        <w:spacing w:after="0" w:line="262" w:lineRule="auto"/>
        <w:rPr>
          <w:sz w:val="20"/>
          <w:szCs w:val="20"/>
          <w:color w:val="auto"/>
        </w:rPr>
      </w:pPr>
      <w:r>
        <w:rPr>
          <w:rFonts w:ascii="Arial" w:cs="Arial" w:eastAsia="Arial" w:hAnsi="Arial"/>
          <w:sz w:val="14"/>
          <w:szCs w:val="14"/>
          <w:color w:val="auto"/>
        </w:rPr>
        <w:t>We have not been granted Orphan Drug Designation for imsidolimab for any indication other than GPP, and there can be no assurance that any of our other product candidates will be designated as an orphan drug. For example, we or our collaborators may seek FDA Orphan Drug Designation for imsidolimab for the treatment of other indications, which will likely require demonstrating to the FDA that each such indication is a distinct disease from psoriasis generally (a non-rare disease) or that use of imsidolimab may be appropriate for the treatment of such other indication but not appropriate for use in the general psoriasis population.</w:t>
      </w:r>
    </w:p>
    <w:p>
      <w:pPr>
        <w:spacing w:after="0" w:line="61" w:lineRule="exact"/>
        <w:rPr>
          <w:sz w:val="20"/>
          <w:szCs w:val="20"/>
          <w:color w:val="auto"/>
        </w:rPr>
      </w:pPr>
    </w:p>
    <w:p>
      <w:pPr>
        <w:ind w:firstLine="382"/>
        <w:spacing w:after="0" w:line="279" w:lineRule="auto"/>
        <w:rPr>
          <w:sz w:val="20"/>
          <w:szCs w:val="20"/>
          <w:color w:val="auto"/>
        </w:rPr>
      </w:pPr>
      <w:r>
        <w:rPr>
          <w:rFonts w:ascii="Arial" w:cs="Arial" w:eastAsia="Arial" w:hAnsi="Arial"/>
          <w:sz w:val="13"/>
          <w:szCs w:val="13"/>
          <w:color w:val="auto"/>
        </w:rPr>
        <w:t>Even if we or our collaborators obtain Orphan Drug Designation for imsidolimab in indications other than GPP, or if we obtain Orphan Drug Designation for any of our other product candidates, we may not receive Orphan Drug exclusivity. If another sponsor receives Orphan Drug Designation for the same active moiety, only the first to receive regulatory approval for a particular indication will receive marketing exclusivity. The FDA makes active moiety “sameness” determinations for monoclonal antibodies on a case-by-case basis based on the principal molecular structure, and thus, while we are not currently aware of any other product candidate in development that we believe has the same active moiety “sameness” as imsidolimab, we cannot predict with certainty whether another candidate would be eligible for, or whether our product would be blocked by another sponsor’s marketing exclusivity. Even after a biological product with Orphan Drug Designation is approved, the FDA can subsequently approve another biologic containing the same principal molecular structure for the same condition if the FDA concludes that the later biologic is clinically superior in that it is shown to be safer, more effective or makes a major contribution to patient care. In addition, exclusivity, if obtained, may not effectively protect the candidate from competition because different drugs or biologics can be approved for the same condition.</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Any drugs we develop may become subject to unfavorable third-party reimbursement practices and pricing regulations.</w:t>
      </w:r>
    </w:p>
    <w:p>
      <w:pPr>
        <w:spacing w:after="0" w:line="98" w:lineRule="exact"/>
        <w:rPr>
          <w:sz w:val="20"/>
          <w:szCs w:val="20"/>
          <w:color w:val="auto"/>
        </w:rPr>
      </w:pPr>
    </w:p>
    <w:p>
      <w:pPr>
        <w:ind w:right="20" w:firstLine="382"/>
        <w:spacing w:after="0" w:line="260" w:lineRule="auto"/>
        <w:rPr>
          <w:sz w:val="20"/>
          <w:szCs w:val="20"/>
          <w:color w:val="auto"/>
        </w:rPr>
      </w:pPr>
      <w:r>
        <w:rPr>
          <w:rFonts w:ascii="Arial" w:cs="Arial" w:eastAsia="Arial" w:hAnsi="Arial"/>
          <w:sz w:val="14"/>
          <w:szCs w:val="14"/>
          <w:color w:val="auto"/>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 care management organizations or reimbursed by government health administration authorities, private health coverage insurers and other third-party payors. If reimbursement is not available, or is available only to limited levels, we or our collaborators may not be able to successfully commercialize our product candidates. Even if coverage is provided, the approved reimbursement amount may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17" w:right="359" w:bottom="1440" w:gutter="0" w:footer="0" w:header="0"/>
        </w:sectPr>
      </w:pPr>
    </w:p>
    <w:bookmarkStart w:id="57" w:name="page58"/>
    <w:bookmarkEnd w:id="57"/>
    <w:p>
      <w:pPr>
        <w:jc w:val="both"/>
        <w:ind w:right="280"/>
        <w:spacing w:after="0" w:line="267" w:lineRule="auto"/>
        <w:rPr>
          <w:sz w:val="20"/>
          <w:szCs w:val="20"/>
          <w:color w:val="auto"/>
        </w:rPr>
      </w:pPr>
      <w:r>
        <w:rPr>
          <w:rFonts w:ascii="Arial" w:cs="Arial" w:eastAsia="Arial" w:hAnsi="Arial"/>
          <w:sz w:val="14"/>
          <w:szCs w:val="14"/>
          <w:color w:val="auto"/>
        </w:rPr>
        <w:t>be high enough to allow us to establish or maintain pricing sufficient to realize a sufficient return on our investment. Coverage and reimbursement may impact the demand for, or the price of, any product candidate for which marketing approval is obtained. If coverage and reimbursement are not available or reimbursement is available only at limited levels, we or our collaborators may not successfully commercialize any product candidate for which marketing approval is obtained.</w:t>
      </w:r>
    </w:p>
    <w:p>
      <w:pPr>
        <w:spacing w:after="0" w:line="57" w:lineRule="exact"/>
        <w:rPr>
          <w:sz w:val="20"/>
          <w:szCs w:val="20"/>
          <w:color w:val="auto"/>
        </w:rPr>
      </w:pPr>
    </w:p>
    <w:p>
      <w:pPr>
        <w:ind w:right="20" w:firstLine="382"/>
        <w:spacing w:after="0" w:line="282" w:lineRule="auto"/>
        <w:rPr>
          <w:sz w:val="20"/>
          <w:szCs w:val="20"/>
          <w:color w:val="auto"/>
        </w:rPr>
      </w:pPr>
      <w:r>
        <w:rPr>
          <w:rFonts w:ascii="Arial" w:cs="Arial" w:eastAsia="Arial" w:hAnsi="Arial"/>
          <w:sz w:val="13"/>
          <w:szCs w:val="13"/>
          <w:color w:val="auto"/>
        </w:rPr>
        <w:t>There is significant uncertainty related to the insurance coverage and reimbursement of newly approved products. In the United States, the principal decisions about reimbursement for new products are typically made by the Centers for Medicare &amp; Medicaid Services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or our collaborators to provide scientific and clinical support for the use of our products to each payor separately, with no assurance that coverage and adequate reimbursement will be applied consistently or obtained in the first instance.</w:t>
      </w:r>
    </w:p>
    <w:p>
      <w:pPr>
        <w:spacing w:after="0" w:line="49" w:lineRule="exact"/>
        <w:rPr>
          <w:sz w:val="20"/>
          <w:szCs w:val="20"/>
          <w:color w:val="auto"/>
        </w:rPr>
      </w:pPr>
    </w:p>
    <w:p>
      <w:pPr>
        <w:ind w:right="40" w:firstLine="382"/>
        <w:spacing w:after="0" w:line="282" w:lineRule="auto"/>
        <w:rPr>
          <w:sz w:val="20"/>
          <w:szCs w:val="20"/>
          <w:color w:val="auto"/>
        </w:rPr>
      </w:pPr>
      <w:r>
        <w:rPr>
          <w:rFonts w:ascii="Arial" w:cs="Arial" w:eastAsia="Arial" w:hAnsi="Arial"/>
          <w:sz w:val="13"/>
          <w:szCs w:val="13"/>
          <w:color w:val="auto"/>
        </w:rPr>
        <w:t>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drug products. There may be especially significant delays in obtaining coverage and reimbursement for newly approved drugs. Third-party payors may limit coverage to specific drug products on an approved list, known as a formulary, which might not include all FDA-approved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or our collaborators commercialize and, if reimbursement is available, what the level of reimbursement and the timing of achieving a reimbursement determination will be.</w:t>
      </w:r>
    </w:p>
    <w:p>
      <w:pPr>
        <w:spacing w:after="0" w:line="49" w:lineRule="exact"/>
        <w:rPr>
          <w:sz w:val="20"/>
          <w:szCs w:val="20"/>
          <w:color w:val="auto"/>
        </w:rPr>
      </w:pPr>
    </w:p>
    <w:p>
      <w:pPr>
        <w:ind w:firstLine="382"/>
        <w:spacing w:after="0" w:line="279" w:lineRule="auto"/>
        <w:rPr>
          <w:sz w:val="20"/>
          <w:szCs w:val="20"/>
          <w:color w:val="auto"/>
        </w:rPr>
      </w:pPr>
      <w:r>
        <w:rPr>
          <w:rFonts w:ascii="Arial" w:cs="Arial" w:eastAsia="Arial" w:hAnsi="Arial"/>
          <w:sz w:val="13"/>
          <w:szCs w:val="13"/>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including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 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 and profits.</w:t>
      </w:r>
    </w:p>
    <w:p>
      <w:pPr>
        <w:spacing w:after="0" w:line="53" w:lineRule="exact"/>
        <w:rPr>
          <w:sz w:val="20"/>
          <w:szCs w:val="20"/>
          <w:color w:val="auto"/>
        </w:rPr>
      </w:pPr>
    </w:p>
    <w:p>
      <w:pPr>
        <w:ind w:right="340" w:firstLine="382"/>
        <w:spacing w:after="0" w:line="284" w:lineRule="auto"/>
        <w:rPr>
          <w:sz w:val="20"/>
          <w:szCs w:val="20"/>
          <w:color w:val="auto"/>
        </w:rPr>
      </w:pPr>
      <w:r>
        <w:rPr>
          <w:rFonts w:ascii="Arial" w:cs="Arial" w:eastAsia="Arial" w:hAnsi="Arial"/>
          <w:sz w:val="13"/>
          <w:szCs w:val="13"/>
          <w:color w:val="auto"/>
        </w:rPr>
        <w:t>Moreover, increasing efforts by governmental and third-party payors, in the United States and internationally, to cap or reduce health 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 care, the increasing influence of health maintenance organizations and additional legislative changes. The downward pressure on health care costs in general, particularly prescription drugs and surgical procedures and other treatments, has become very intense. As a result, increasingly high barriers are being erected to the entry of new products into the health care market.</w:t>
      </w:r>
    </w:p>
    <w:p>
      <w:pPr>
        <w:spacing w:after="0" w:line="49" w:lineRule="exact"/>
        <w:rPr>
          <w:sz w:val="20"/>
          <w:szCs w:val="20"/>
          <w:color w:val="auto"/>
        </w:rPr>
      </w:pPr>
    </w:p>
    <w:p>
      <w:pPr>
        <w:jc w:val="both"/>
        <w:ind w:right="180" w:firstLine="382"/>
        <w:spacing w:after="0" w:line="331" w:lineRule="auto"/>
        <w:rPr>
          <w:sz w:val="20"/>
          <w:szCs w:val="20"/>
          <w:color w:val="auto"/>
        </w:rPr>
      </w:pPr>
      <w:r>
        <w:rPr>
          <w:rFonts w:ascii="Arial" w:cs="Arial" w:eastAsia="Arial" w:hAnsi="Arial"/>
          <w:sz w:val="12"/>
          <w:szCs w:val="12"/>
          <w:color w:val="auto"/>
        </w:rPr>
        <w:t>In addition to CMS and private payors, professional organizations such as the American Medical Association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spacing w:after="0" w:line="23" w:lineRule="exact"/>
        <w:rPr>
          <w:sz w:val="20"/>
          <w:szCs w:val="20"/>
          <w:color w:val="auto"/>
        </w:rPr>
      </w:pPr>
    </w:p>
    <w:p>
      <w:pPr>
        <w:jc w:val="both"/>
        <w:ind w:right="180" w:firstLine="382"/>
        <w:spacing w:after="0" w:line="321" w:lineRule="auto"/>
        <w:rPr>
          <w:sz w:val="20"/>
          <w:szCs w:val="20"/>
          <w:color w:val="auto"/>
        </w:rPr>
      </w:pPr>
      <w:r>
        <w:rPr>
          <w:rFonts w:ascii="Arial" w:cs="Arial" w:eastAsia="Arial" w:hAnsi="Arial"/>
          <w:sz w:val="13"/>
          <w:szCs w:val="13"/>
          <w:color w:val="auto"/>
        </w:rPr>
        <w:t>Furthermore, some of our target indications, such as GPP, are rare diseases with small patient populations. In order for therapeutics that are designed to treat smaller patient populations to be commercially viable, the reimbursement for such therapeutics must be higher, on a relative basis, to account for the low volume of sales. Accordingly, we or our collaborators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58" w:name="page59"/>
    <w:bookmarkEnd w:id="58"/>
    <w:p>
      <w:pPr>
        <w:spacing w:after="0"/>
        <w:rPr>
          <w:sz w:val="20"/>
          <w:szCs w:val="20"/>
          <w:color w:val="auto"/>
        </w:rPr>
      </w:pPr>
      <w:r>
        <w:rPr>
          <w:rFonts w:ascii="Arial" w:cs="Arial" w:eastAsia="Arial" w:hAnsi="Arial"/>
          <w:sz w:val="14"/>
          <w:szCs w:val="14"/>
          <w:color w:val="auto"/>
        </w:rPr>
        <w:t>will need to implement a coverage and reimbursement strategy for any approved product candidate that accounts for the smaller potential market size.</w:t>
      </w:r>
    </w:p>
    <w:p>
      <w:pPr>
        <w:spacing w:after="0" w:line="94" w:lineRule="exact"/>
        <w:rPr>
          <w:sz w:val="20"/>
          <w:szCs w:val="20"/>
          <w:color w:val="auto"/>
        </w:rPr>
      </w:pPr>
    </w:p>
    <w:p>
      <w:pPr>
        <w:ind w:right="60" w:firstLine="382"/>
        <w:spacing w:after="0" w:line="262" w:lineRule="auto"/>
        <w:rPr>
          <w:sz w:val="20"/>
          <w:szCs w:val="20"/>
          <w:color w:val="auto"/>
        </w:rPr>
      </w:pPr>
      <w:r>
        <w:rPr>
          <w:rFonts w:ascii="Arial" w:cs="Arial" w:eastAsia="Arial" w:hAnsi="Arial"/>
          <w:sz w:val="14"/>
          <w:szCs w:val="14"/>
          <w:color w:val="auto"/>
        </w:rPr>
        <w:t>If we or our collaborators are unable to establish or sustain coverage and adequate reimbursement for any future product candidates from third-party payors, the adoption of those product candidates and sales revenue will be adversely affected, which, in turn, could adversely affect the ability to market or sell those product candidates, if approved.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142" w:lineRule="exact"/>
        <w:rPr>
          <w:sz w:val="20"/>
          <w:szCs w:val="20"/>
          <w:color w:val="auto"/>
        </w:rPr>
      </w:pPr>
    </w:p>
    <w:p>
      <w:pPr>
        <w:ind w:right="280"/>
        <w:spacing w:after="0" w:line="287" w:lineRule="auto"/>
        <w:rPr>
          <w:sz w:val="20"/>
          <w:szCs w:val="20"/>
          <w:color w:val="auto"/>
        </w:rPr>
      </w:pPr>
      <w:r>
        <w:rPr>
          <w:rFonts w:ascii="Arial" w:cs="Arial" w:eastAsia="Arial" w:hAnsi="Arial"/>
          <w:sz w:val="14"/>
          <w:szCs w:val="14"/>
          <w:b w:val="1"/>
          <w:bCs w:val="1"/>
          <w:color w:val="auto"/>
        </w:rPr>
        <w:t>Healthcare legislative reform measures may increase the difficulty and cost for us or our collaborators to obtain marketing approval of and commercialize our product candidates and affect the pricing of our product candidates.</w:t>
      </w:r>
    </w:p>
    <w:p>
      <w:pPr>
        <w:spacing w:after="0" w:line="43" w:lineRule="exact"/>
        <w:rPr>
          <w:sz w:val="20"/>
          <w:szCs w:val="20"/>
          <w:color w:val="auto"/>
        </w:rPr>
      </w:pPr>
    </w:p>
    <w:p>
      <w:pPr>
        <w:ind w:right="40" w:firstLine="382"/>
        <w:spacing w:after="0" w:line="258" w:lineRule="auto"/>
        <w:rPr>
          <w:sz w:val="20"/>
          <w:szCs w:val="20"/>
          <w:color w:val="auto"/>
        </w:rPr>
      </w:pPr>
      <w:r>
        <w:rPr>
          <w:rFonts w:ascii="Arial" w:cs="Arial" w:eastAsia="Arial" w:hAnsi="Arial"/>
          <w:sz w:val="14"/>
          <w:szCs w:val="14"/>
          <w:color w:val="auto"/>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or our collaborators’ ability to profitably sell any product candidates for which marketing approval is obtained. The commercial potential for our product candidates, if any, could be affected by changes in healthcare spending and policy in the United States and abroad. New laws, regulations, or judicial decisions or new interpretations of existing laws, regulations, or decisions, related to healthcare availability, the method of delivery, or payment for healthcare products and services could adversely affect our business, operations, and financial condition, if and when we or our collaborators are able to obtain marketing approval and commercialize our product candidates.</w:t>
      </w:r>
    </w:p>
    <w:p>
      <w:pPr>
        <w:spacing w:after="0" w:line="65" w:lineRule="exact"/>
        <w:rPr>
          <w:sz w:val="20"/>
          <w:szCs w:val="20"/>
          <w:color w:val="auto"/>
        </w:rPr>
      </w:pPr>
    </w:p>
    <w:p>
      <w:pPr>
        <w:ind w:firstLine="382"/>
        <w:spacing w:after="0" w:line="262" w:lineRule="auto"/>
        <w:rPr>
          <w:sz w:val="20"/>
          <w:szCs w:val="20"/>
          <w:color w:val="auto"/>
        </w:rPr>
      </w:pPr>
      <w:r>
        <w:rPr>
          <w:rFonts w:ascii="Arial" w:cs="Arial" w:eastAsia="Arial" w:hAnsi="Arial"/>
          <w:sz w:val="14"/>
          <w:szCs w:val="14"/>
          <w:color w:val="auto"/>
        </w:rPr>
        <w:t>For example, the ACA was enacted in 2010 with a goal, among others, of reducing the cost of healthcare and substantially changing the way healthcare is financed by both government and private insurers. The ACA, among other things, expanded manufacturers’ rebate liability under the Medicaid Drug Rebate Program, imposed a significant annual, nondeductible fee on companies that manufacture or import certain branded prescription drug products, and enacted substantial provisions affecting compliance, which may affect our business practices with healthcare practitioners. In addition, other legislative changes have been proposed and adopted in the United States since the ACA was enacted.</w:t>
      </w:r>
    </w:p>
    <w:p>
      <w:pPr>
        <w:spacing w:after="0" w:line="61" w:lineRule="exact"/>
        <w:rPr>
          <w:sz w:val="20"/>
          <w:szCs w:val="20"/>
          <w:color w:val="auto"/>
        </w:rPr>
      </w:pPr>
    </w:p>
    <w:p>
      <w:pPr>
        <w:ind w:right="40" w:firstLine="382"/>
        <w:spacing w:after="0" w:line="276" w:lineRule="auto"/>
        <w:rPr>
          <w:sz w:val="20"/>
          <w:szCs w:val="20"/>
          <w:color w:val="auto"/>
        </w:rPr>
      </w:pPr>
      <w:r>
        <w:rPr>
          <w:rFonts w:ascii="Arial" w:cs="Arial" w:eastAsia="Arial" w:hAnsi="Arial"/>
          <w:sz w:val="13"/>
          <w:szCs w:val="13"/>
          <w:color w:val="auto"/>
        </w:rPr>
        <w:t>In addition, the Biden Administration has indicated an intent to address prescription drug pricing and recent Congressional hearings have brought increased public attention to the costs of prescription drugs. For example, on September 9, 2021, the Biden administration published a wide-ranging list of policy proposals to lower prescription drug prices, including by allowing Medicare to negotiate prices and disincentivizing price increases, and to support market changes that strengthen supply chains, promote biosimilars and generic drugs, and increase price transparency. These initiatives recently culminated in the enactment of the Inflation Reduction Act, or IRA, in August 2022, which will, among other things, allow the U.S. Department of Health and Human Services, or HHS, to negotiate the selling price of certain drugs and biologics that CMS reimburses under Medicare Part B and Part D, although this will only apply to high-expenditure single-source drugs that have been approved for at least 7 years (11 years for biologics). The negotiated prices, which will first become effective in 2026, will be capped at a statutory ceiling price beginning in October 2023, penalize drug manufacturers that increase prices of Medicare Part B and Part D drugs at a rate greater than the rate of inflation. In addition, the law eliminates the “donut hole” under Medicare Part D beginning in 2025 by significantly lowering the beneficiary maximum out-of-pocket cost and requiring manufacturers to subsidize, through a newly established manufacturer discount program, 10% of Part D enrollees’ prescription costs for brand drugs below the out-of-pocket maximum, and 20% once the out-of-pocket maximum has been reached. The IRA permits the Secretary of HHS to implement many of these provisions through guidance, as opposed to regulation, for the initial years. Manufacturers that fail to comply with the IRA may be subject to various penalties, including civil monetary penalties. The IRA also extends enhanced subsidies for individuals purchasing health insurance coverage in ACA marketplaces through plan year 2025. These provisions will take effect progressively starting in 2023, although they may be subject to legal challenges.</w:t>
      </w:r>
    </w:p>
    <w:p>
      <w:pPr>
        <w:spacing w:after="0" w:line="59" w:lineRule="exact"/>
        <w:rPr>
          <w:sz w:val="20"/>
          <w:szCs w:val="20"/>
          <w:color w:val="auto"/>
        </w:rPr>
      </w:pPr>
    </w:p>
    <w:p>
      <w:pPr>
        <w:ind w:right="20" w:firstLine="382"/>
        <w:spacing w:after="0" w:line="288" w:lineRule="auto"/>
        <w:rPr>
          <w:sz w:val="20"/>
          <w:szCs w:val="20"/>
          <w:color w:val="auto"/>
        </w:rPr>
      </w:pPr>
      <w:r>
        <w:rPr>
          <w:rFonts w:ascii="Arial" w:cs="Arial" w:eastAsia="Arial" w:hAnsi="Arial"/>
          <w:sz w:val="13"/>
          <w:szCs w:val="13"/>
          <w:color w:val="auto"/>
        </w:rPr>
        <w:t>It is likely that federal and state legislatures within the United States and foreign governments will continue to consider changes to existing healthcare legislation. For example, the ACA has faced ongoing legal challenges, including litigation seeking to invalidate some of or all of the law or the manner in which it has been implemented. More recently, the 2017 Tax Cuts and Jobs Act was signed into law, which eliminated certain requirements of the ACA, including the individual mandate. In 2021 the U.S. Supreme Court dismissed a challenge on procedural grounds that argued the ACA is unconstitutional in its entirety because the individual mandate was repealed by Congress. Thus, the ACA will remain in effect in its current form.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59" w:name="page60"/>
    <w:bookmarkEnd w:id="59"/>
    <w:p>
      <w:pPr>
        <w:spacing w:after="0"/>
        <w:rPr>
          <w:sz w:val="20"/>
          <w:szCs w:val="20"/>
          <w:color w:val="auto"/>
        </w:rPr>
      </w:pPr>
      <w:r>
        <w:rPr>
          <w:rFonts w:ascii="Arial" w:cs="Arial" w:eastAsia="Arial" w:hAnsi="Arial"/>
          <w:sz w:val="14"/>
          <w:szCs w:val="14"/>
          <w:color w:val="auto"/>
        </w:rPr>
        <w:t>cannot predict the reform initiatives that may be adopted in the future or whether initiatives that have been adopted will be repealed or modified.</w:t>
      </w:r>
    </w:p>
    <w:p>
      <w:pPr>
        <w:spacing w:after="0" w:line="94" w:lineRule="exact"/>
        <w:rPr>
          <w:sz w:val="20"/>
          <w:szCs w:val="20"/>
          <w:color w:val="auto"/>
        </w:rPr>
      </w:pPr>
    </w:p>
    <w:p>
      <w:pPr>
        <w:ind w:right="40" w:firstLine="382"/>
        <w:spacing w:after="0" w:line="260" w:lineRule="auto"/>
        <w:rPr>
          <w:sz w:val="20"/>
          <w:szCs w:val="20"/>
          <w:color w:val="auto"/>
        </w:rPr>
      </w:pPr>
      <w:r>
        <w:rPr>
          <w:rFonts w:ascii="Arial" w:cs="Arial" w:eastAsia="Arial" w:hAnsi="Arial"/>
          <w:sz w:val="14"/>
          <w:szCs w:val="14"/>
          <w:color w:val="auto"/>
        </w:rPr>
        <w:t>Other reforms include the Drug Supply Chain Security Act, which imposes new obligations on manufacturers of pharmaceutical products related to product tracking and tracing. Legislative and regulatory proposals have been made to expand post-approval requirements and restrict sales and promotional activities for pharmaceutical products. We are not sure whether additional legislative changes will be enacted, or whether the current regulations, guidance or interpretations will be changed, or what the impact of such changes on our business, if any, may be. Further, we are unable to predict whether additional governmental action will be taken in response to the COVID-19 pandemic and whether such action will adversely affect our or our collaborators’ ability to obtain marketing approval for or successfully commercialize our product candidates.</w:t>
      </w:r>
    </w:p>
    <w:p>
      <w:pPr>
        <w:spacing w:after="0" w:line="142"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b w:val="1"/>
          <w:bCs w:val="1"/>
          <w:color w:val="auto"/>
        </w:rPr>
        <w:t>Our business entails a significant risk of product liability, and our ability to obtain sufficient insurance coverage could have an adverse effect on our business, financial condition, results of operations or prospects.</w:t>
      </w:r>
    </w:p>
    <w:p>
      <w:pPr>
        <w:spacing w:after="0" w:line="43" w:lineRule="exact"/>
        <w:rPr>
          <w:sz w:val="20"/>
          <w:szCs w:val="20"/>
          <w:color w:val="auto"/>
        </w:rPr>
      </w:pPr>
    </w:p>
    <w:p>
      <w:pPr>
        <w:ind w:firstLine="382"/>
        <w:spacing w:after="0" w:line="256" w:lineRule="auto"/>
        <w:rPr>
          <w:sz w:val="20"/>
          <w:szCs w:val="20"/>
          <w:color w:val="auto"/>
        </w:rPr>
      </w:pPr>
      <w:r>
        <w:rPr>
          <w:rFonts w:ascii="Arial" w:cs="Arial" w:eastAsia="Arial" w:hAnsi="Arial"/>
          <w:sz w:val="14"/>
          <w:szCs w:val="14"/>
          <w:color w:val="auto"/>
        </w:rPr>
        <w:t>Our business exposes us to significant product liability risks inherent in the development, testing, manufacturing and marketing of therapeutic treatments. Product liability claims could delay or prevent completion of our development programs. If we or our collaborators succeed in marketing any of our product candidates, such claims could result in an FDA investigation of the safety and effectiveness of our product candidates,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spacing w:after="0" w:line="148" w:lineRule="exact"/>
        <w:rPr>
          <w:sz w:val="20"/>
          <w:szCs w:val="20"/>
          <w:color w:val="auto"/>
        </w:rPr>
      </w:pPr>
    </w:p>
    <w:p>
      <w:pPr>
        <w:ind w:right="240"/>
        <w:spacing w:after="0" w:line="372" w:lineRule="auto"/>
        <w:rPr>
          <w:sz w:val="20"/>
          <w:szCs w:val="20"/>
          <w:color w:val="auto"/>
        </w:rPr>
      </w:pPr>
      <w:r>
        <w:rPr>
          <w:rFonts w:ascii="Arial" w:cs="Arial" w:eastAsia="Arial" w:hAnsi="Arial"/>
          <w:sz w:val="12"/>
          <w:szCs w:val="12"/>
          <w:b w:val="1"/>
          <w:bCs w:val="1"/>
          <w:color w:val="auto"/>
        </w:rPr>
        <w:t>Our relationships with customers and third-party payors will be subject to applicable anti-kickback, fraud and abuse, transparency and other health care laws and regulations, which could expose us to, among other things, criminal sanctions, civil penalties, contractual damages, reputational harm, administrative burdens and diminished profits and future earnings.</w:t>
      </w:r>
    </w:p>
    <w:p>
      <w:pPr>
        <w:spacing w:after="0" w:line="1" w:lineRule="exact"/>
        <w:rPr>
          <w:sz w:val="20"/>
          <w:szCs w:val="20"/>
          <w:color w:val="auto"/>
        </w:rPr>
      </w:pPr>
    </w:p>
    <w:p>
      <w:pPr>
        <w:ind w:right="160" w:firstLine="382"/>
        <w:spacing w:after="0" w:line="262" w:lineRule="auto"/>
        <w:rPr>
          <w:sz w:val="20"/>
          <w:szCs w:val="20"/>
          <w:color w:val="auto"/>
        </w:rPr>
      </w:pPr>
      <w:r>
        <w:rPr>
          <w:rFonts w:ascii="Arial" w:cs="Arial" w:eastAsia="Arial" w:hAnsi="Arial"/>
          <w:sz w:val="14"/>
          <w:szCs w:val="14"/>
          <w:color w:val="auto"/>
        </w:rPr>
        <w:t>Health care providers and third-party payors play a primary role in the recommendation and prescription of any product candidates for which we or our collaborators obtain marketing approval. Our future arrangements with third-party payors and customers may expose us to broadly applicable fraud and abuse and other health care laws and regulations that may constrain the business or financial arrangements and relationships through which we or our collaborators market, sell and distribute our product candidates for which marketing approval is obtained. Restrictions under applicable federal and state health care laws and regulations include the following:</w:t>
      </w:r>
    </w:p>
    <w:p>
      <w:pPr>
        <w:spacing w:after="0" w:line="61" w:lineRule="exact"/>
        <w:rPr>
          <w:sz w:val="20"/>
          <w:szCs w:val="20"/>
          <w:color w:val="auto"/>
        </w:rPr>
      </w:pPr>
    </w:p>
    <w:p>
      <w:pPr>
        <w:ind w:left="520" w:right="20" w:hanging="260"/>
        <w:spacing w:after="0" w:line="267" w:lineRule="auto"/>
        <w:tabs>
          <w:tab w:leader="none" w:pos="5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 care program such as Medicare and Medicaid;</w:t>
      </w:r>
    </w:p>
    <w:p>
      <w:pPr>
        <w:spacing w:after="0" w:line="56" w:lineRule="exact"/>
        <w:rPr>
          <w:rFonts w:ascii="Arial" w:cs="Arial" w:eastAsia="Arial" w:hAnsi="Arial"/>
          <w:sz w:val="14"/>
          <w:szCs w:val="14"/>
          <w:color w:val="auto"/>
        </w:rPr>
      </w:pPr>
    </w:p>
    <w:p>
      <w:pPr>
        <w:jc w:val="both"/>
        <w:ind w:left="520" w:right="100" w:hanging="260"/>
        <w:spacing w:after="0" w:line="267" w:lineRule="auto"/>
        <w:tabs>
          <w:tab w:leader="none" w:pos="5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56" w:lineRule="exact"/>
        <w:rPr>
          <w:rFonts w:ascii="Arial" w:cs="Arial" w:eastAsia="Arial" w:hAnsi="Arial"/>
          <w:sz w:val="14"/>
          <w:szCs w:val="14"/>
          <w:color w:val="auto"/>
        </w:rPr>
      </w:pPr>
    </w:p>
    <w:p>
      <w:pPr>
        <w:ind w:left="520" w:right="100" w:hanging="260"/>
        <w:spacing w:after="0" w:line="281" w:lineRule="auto"/>
        <w:tabs>
          <w:tab w:leader="none" w:pos="5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federal Health Insurance Portability and Accountability Act of 1996 (“HIPAA”) imposes criminal and civil liability for, among other things, executing or attempting to execute a scheme to defraud any health care benefit program or making false statements relating to health care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60" w:name="page61"/>
    <w:bookmarkEnd w:id="60"/>
    <w:p>
      <w:pPr>
        <w:ind w:left="520" w:right="600" w:hanging="260"/>
        <w:spacing w:after="0" w:line="281" w:lineRule="auto"/>
        <w:tabs>
          <w:tab w:leader="none" w:pos="516" w:val="left"/>
        </w:tabs>
        <w:numPr>
          <w:ilvl w:val="0"/>
          <w:numId w:val="32"/>
        </w:numPr>
        <w:rPr>
          <w:rFonts w:ascii="Arial" w:cs="Arial" w:eastAsia="Arial" w:hAnsi="Arial"/>
          <w:sz w:val="14"/>
          <w:szCs w:val="14"/>
          <w:color w:val="auto"/>
        </w:rPr>
      </w:pPr>
      <w:r>
        <w:rPr>
          <w:rFonts w:ascii="Arial" w:cs="Arial" w:eastAsia="Arial" w:hAnsi="Arial"/>
          <w:sz w:val="14"/>
          <w:szCs w:val="14"/>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47" w:lineRule="exact"/>
        <w:rPr>
          <w:rFonts w:ascii="Arial" w:cs="Arial" w:eastAsia="Arial" w:hAnsi="Arial"/>
          <w:sz w:val="14"/>
          <w:szCs w:val="14"/>
          <w:color w:val="auto"/>
        </w:rPr>
      </w:pPr>
    </w:p>
    <w:p>
      <w:pPr>
        <w:ind w:left="520" w:right="60" w:hanging="260"/>
        <w:spacing w:after="0" w:line="262" w:lineRule="auto"/>
        <w:tabs>
          <w:tab w:leader="none" w:pos="516"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 information regarding payments and other transfers of value to physicians and teaching hospitals as well as information regarding ownership and investment interests held by physicians and their immediate family members. The information was initially made publicly available on a searchable website in September 2014 and is disclosed on an annual basis; and</w:t>
      </w:r>
    </w:p>
    <w:p>
      <w:pPr>
        <w:spacing w:after="0" w:line="60" w:lineRule="exact"/>
        <w:rPr>
          <w:rFonts w:ascii="Arial" w:cs="Arial" w:eastAsia="Arial" w:hAnsi="Arial"/>
          <w:sz w:val="14"/>
          <w:szCs w:val="14"/>
          <w:color w:val="auto"/>
        </w:rPr>
      </w:pPr>
    </w:p>
    <w:p>
      <w:pPr>
        <w:ind w:left="520" w:right="140" w:hanging="260"/>
        <w:spacing w:after="0" w:line="281" w:lineRule="auto"/>
        <w:tabs>
          <w:tab w:leader="none" w:pos="516" w:val="left"/>
        </w:tabs>
        <w:numPr>
          <w:ilvl w:val="0"/>
          <w:numId w:val="32"/>
        </w:numPr>
        <w:rPr>
          <w:rFonts w:ascii="Arial" w:cs="Arial" w:eastAsia="Arial" w:hAnsi="Arial"/>
          <w:sz w:val="14"/>
          <w:szCs w:val="14"/>
          <w:color w:val="auto"/>
        </w:rPr>
      </w:pPr>
      <w:r>
        <w:rPr>
          <w:rFonts w:ascii="Arial" w:cs="Arial" w:eastAsia="Arial" w:hAnsi="Arial"/>
          <w:sz w:val="14"/>
          <w:szCs w:val="14"/>
          <w:color w:val="auto"/>
        </w:rPr>
        <w:t>analogous state and foreign laws and regulations, such as state anti-kickback and false claims laws, may apply to sales or marketing arrangements and claims involving health care items or services reimbursed by non-governmental third-party payors, including private insurers.</w:t>
      </w:r>
    </w:p>
    <w:p>
      <w:pPr>
        <w:spacing w:after="0" w:line="47" w:lineRule="exact"/>
        <w:rPr>
          <w:sz w:val="20"/>
          <w:szCs w:val="20"/>
          <w:color w:val="auto"/>
        </w:rPr>
      </w:pPr>
    </w:p>
    <w:p>
      <w:pPr>
        <w:jc w:val="both"/>
        <w:ind w:right="220" w:firstLine="382"/>
        <w:spacing w:after="0" w:line="267" w:lineRule="auto"/>
        <w:rPr>
          <w:sz w:val="20"/>
          <w:szCs w:val="20"/>
          <w:color w:val="auto"/>
        </w:rPr>
      </w:pPr>
      <w:r>
        <w:rPr>
          <w:rFonts w:ascii="Arial" w:cs="Arial" w:eastAsia="Arial" w:hAnsi="Arial"/>
          <w:sz w:val="14"/>
          <w:szCs w:val="14"/>
          <w:color w:val="auto"/>
        </w:rPr>
        <w:t>The ACA, among other things, amended the intent standard of the federal Anti-Kickback Statute and criminal health care fraud statutes to a stricter standard such that a person or entity no longer needs to have actual knowledge of this statute or specific intent to violate it. In addition, the ACA codified case law that a claim including items or services resulting from a violation of the federal Anti-Kickback Statute constitutes a false or fraudulent claim for purposes of the federal False Claims Act.</w:t>
      </w:r>
    </w:p>
    <w:p>
      <w:pPr>
        <w:spacing w:after="0" w:line="57" w:lineRule="exact"/>
        <w:rPr>
          <w:sz w:val="20"/>
          <w:szCs w:val="20"/>
          <w:color w:val="auto"/>
        </w:rPr>
      </w:pPr>
    </w:p>
    <w:p>
      <w:pPr>
        <w:ind w:firstLine="382"/>
        <w:spacing w:after="0" w:line="257" w:lineRule="auto"/>
        <w:rPr>
          <w:sz w:val="20"/>
          <w:szCs w:val="20"/>
          <w:color w:val="auto"/>
        </w:rPr>
      </w:pPr>
      <w:r>
        <w:rPr>
          <w:rFonts w:ascii="Arial" w:cs="Arial" w:eastAsia="Arial" w:hAnsi="Arial"/>
          <w:sz w:val="14"/>
          <w:szCs w:val="14"/>
          <w:color w:val="auto"/>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 care providers or marketing expenditures. For example, several states now require prescription drug companies to report certain expenses relating to the marketing and promotion of drug products and to report gifts and payments to individual health 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Some states further require pharmaceutical companies to implement compliance programs and/or marketing codes. Compliance with these laws is difficult and time consuming, and companies that do not comply with these state laws face civil penalties.</w:t>
      </w:r>
    </w:p>
    <w:p>
      <w:pPr>
        <w:spacing w:after="0" w:line="66" w:lineRule="exact"/>
        <w:rPr>
          <w:sz w:val="20"/>
          <w:szCs w:val="20"/>
          <w:color w:val="auto"/>
        </w:rPr>
      </w:pPr>
    </w:p>
    <w:p>
      <w:pPr>
        <w:ind w:firstLine="382"/>
        <w:spacing w:after="0" w:line="275" w:lineRule="auto"/>
        <w:rPr>
          <w:sz w:val="20"/>
          <w:szCs w:val="20"/>
          <w:color w:val="auto"/>
        </w:rPr>
      </w:pPr>
      <w:r>
        <w:rPr>
          <w:rFonts w:ascii="Arial" w:cs="Arial" w:eastAsia="Arial" w:hAnsi="Arial"/>
          <w:sz w:val="13"/>
          <w:szCs w:val="13"/>
          <w:color w:val="auto"/>
        </w:rPr>
        <w:t>State and foreign laws also govern the privacy and security of health information in some circumstances, many of which differ from each other in significant ways and often are not preempted by HIPAA, thus complicating compliance efforts. For example, the collection and use of health data in the EU is governed by the General Data Protection Regulation (“GDPR”), which became fully applicable in May 2018. The GDPR extends the geographical scope of EU data protection law to non-EU entities under certain conditions, tightens existing EU data protection principles and creates new obligations for companies and new rights for individuals. The GDPR is complex, and guidance, interpretation and application under the GDPR are still developing. Failure to comply with the GDPR may result in substantial fines and other administrative penalties of up to the greater of €20 million or 4% of worldwide revenue. The GDPR may increase our responsibility and liability in relation to personal data that we process and we may be required to put in place additional mechanisms ensuring compliance with the GDPR. The pending EU ePrivacy Regulation is also expected to establish new requirements applicable to the handling of personal data and imposes penalties for non-compliance. In addition, the GDPR increases the scrutiny of transfers of personal data from clinical trial sites located in the European Economic Area to the United States and other jurisdictions that the European Commission does not recognize as having “adequate” data protection laws. For example, in July 2016, the European Commission adopted the EU-U.S. Privacy Shield Framework (the “Privacy Shield Framework”), which replaced the prior U.S. Safe Harbor scheme. On July 16, 2020, the Court of Justice of the European Union issued a decision, known as Schrems II, that declared the Privacy Shield Framework invalid. The Schrems II decision also resulted in substantial additional compliance obligations for companies that implement standard contractual clauses to ensure a valid basis for the transfer of personal data outside of Europe. The European Commission has also adopted new standard contractual clauses that impose substantial additional obligations on the companies that wish to use the clauses as the basis for their data transfers. Following the UK’s exit from the European Union, the UK government transposed the General Data Protection Regulation into UK national law, thereby creating the “UK GDPR.” The UK made a number of technical changes to GDPR under the Data Protection, Privacy and Electronic Communications Regulation 2019. The UK Data Protection Act 2018 (“Data Protection Act”) also remains in place as a national data protection law that supplements UK GDPR. Additionally, California enacted the California Consumer Privacy Act (“CCPA”), which became effective on January 1, 2020, and the California Privacy Rights Act (“CPRA”),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7" w:right="339" w:bottom="1440" w:gutter="0" w:footer="0" w:header="0"/>
        </w:sectPr>
      </w:pPr>
    </w:p>
    <w:bookmarkStart w:id="61" w:name="page62"/>
    <w:bookmarkEnd w:id="61"/>
    <w:p>
      <w:pPr>
        <w:ind w:right="20"/>
        <w:spacing w:after="0" w:line="313" w:lineRule="auto"/>
        <w:rPr>
          <w:sz w:val="20"/>
          <w:szCs w:val="20"/>
          <w:color w:val="auto"/>
        </w:rPr>
      </w:pPr>
      <w:r>
        <w:rPr>
          <w:rFonts w:ascii="Arial" w:cs="Arial" w:eastAsia="Arial" w:hAnsi="Arial"/>
          <w:sz w:val="12"/>
          <w:szCs w:val="12"/>
          <w:color w:val="auto"/>
        </w:rPr>
        <w:t>modifies the CCPA and creates additional obligations beginning on January 1, 2022. The CCPA and CPRA provide California residents expanded rights to access and delete their personal information, opt out of certain personal information sharing and receive detailed information about how their personal information is used, and provides for civil penalties for violations, as well as a private right of action for data breaches that is expected to increase data breach litigation. Generally, in recent years that has been a trend towards countries adopting stricter forms of data protection legislation, such as China’s Personal Information Protection Law, which went into effect in November 2021. The costs of compliance with, and other burdens imposed by, the GDPR, CCPA and other U.S., EU and worldwide laws may impose onerous requirements on our business and, if our efforts to comply with such laws are not successful, our business could be adversely affected.</w:t>
      </w:r>
    </w:p>
    <w:p>
      <w:pPr>
        <w:spacing w:after="0" w:line="34" w:lineRule="exact"/>
        <w:rPr>
          <w:sz w:val="20"/>
          <w:szCs w:val="20"/>
          <w:color w:val="auto"/>
        </w:rPr>
      </w:pPr>
    </w:p>
    <w:p>
      <w:pPr>
        <w:ind w:firstLine="382"/>
        <w:spacing w:after="0" w:line="279" w:lineRule="auto"/>
        <w:rPr>
          <w:sz w:val="20"/>
          <w:szCs w:val="20"/>
          <w:color w:val="auto"/>
        </w:rPr>
      </w:pPr>
      <w:r>
        <w:rPr>
          <w:rFonts w:ascii="Arial" w:cs="Arial" w:eastAsia="Arial" w:hAnsi="Arial"/>
          <w:sz w:val="13"/>
          <w:szCs w:val="13"/>
          <w:color w:val="auto"/>
        </w:rPr>
        <w:t>Efforts to ensure that our current and future business arrangements with third parties will comply with applicable health care laws and regulations will involve substantial costs. It is possible that governmental authorities will conclude that our business practices may not comply with current or future statutes, regulations or case law involving applicable fraud and abuse or other health 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 care programs, such as Medicare and Medicaid,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 care providers or entities with whom we expect to do business is found to be not in compliance with applicable laws, they may be subject to criminal, civil or administrative sanctions, including exclusions from government funded health care programs.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employees may engage in misconduct or other improper activities, including noncompliance with regulatory standards and requirements and insider trading.</w:t>
      </w:r>
    </w:p>
    <w:p>
      <w:pPr>
        <w:spacing w:after="0" w:line="98" w:lineRule="exact"/>
        <w:rPr>
          <w:sz w:val="20"/>
          <w:szCs w:val="20"/>
          <w:color w:val="auto"/>
        </w:rPr>
      </w:pPr>
    </w:p>
    <w:p>
      <w:pPr>
        <w:ind w:right="100" w:firstLine="382"/>
        <w:spacing w:after="0" w:line="278" w:lineRule="auto"/>
        <w:rPr>
          <w:sz w:val="20"/>
          <w:szCs w:val="20"/>
          <w:color w:val="auto"/>
        </w:rPr>
      </w:pPr>
      <w:r>
        <w:rPr>
          <w:rFonts w:ascii="Arial" w:cs="Arial" w:eastAsia="Arial" w:hAnsi="Arial"/>
          <w:sz w:val="13"/>
          <w:szCs w:val="13"/>
          <w:color w:val="auto"/>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conduct,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Intellectual Property</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we are unable to obtain or protect intellectual property rights, we may not be able to compete effectively in our market.</w:t>
      </w:r>
    </w:p>
    <w:p>
      <w:pPr>
        <w:spacing w:after="0" w:line="98" w:lineRule="exact"/>
        <w:rPr>
          <w:sz w:val="20"/>
          <w:szCs w:val="20"/>
          <w:color w:val="auto"/>
        </w:rPr>
      </w:pPr>
    </w:p>
    <w:p>
      <w:pPr>
        <w:ind w:right="100" w:firstLine="382"/>
        <w:spacing w:after="0" w:line="280" w:lineRule="auto"/>
        <w:rPr>
          <w:sz w:val="20"/>
          <w:szCs w:val="20"/>
          <w:color w:val="auto"/>
        </w:rPr>
      </w:pPr>
      <w:r>
        <w:rPr>
          <w:rFonts w:ascii="Arial" w:cs="Arial" w:eastAsia="Arial" w:hAnsi="Arial"/>
          <w:sz w:val="13"/>
          <w:szCs w:val="13"/>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62" w:name="page63"/>
    <w:bookmarkEnd w:id="62"/>
    <w:p>
      <w:pPr>
        <w:ind w:right="100"/>
        <w:spacing w:after="0" w:line="288" w:lineRule="auto"/>
        <w:rPr>
          <w:sz w:val="20"/>
          <w:szCs w:val="20"/>
          <w:color w:val="auto"/>
        </w:rPr>
      </w:pPr>
      <w:r>
        <w:rPr>
          <w:rFonts w:ascii="Arial" w:cs="Arial" w:eastAsia="Arial" w:hAnsi="Arial"/>
          <w:sz w:val="13"/>
          <w:szCs w:val="13"/>
          <w:color w:val="auto"/>
        </w:rPr>
        <w:t>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spacing w:after="0" w:line="46" w:lineRule="exact"/>
        <w:rPr>
          <w:sz w:val="20"/>
          <w:szCs w:val="20"/>
          <w:color w:val="auto"/>
        </w:rPr>
      </w:pPr>
    </w:p>
    <w:p>
      <w:pPr>
        <w:ind w:firstLine="382"/>
        <w:spacing w:after="0" w:line="279" w:lineRule="auto"/>
        <w:rPr>
          <w:sz w:val="20"/>
          <w:szCs w:val="20"/>
          <w:color w:val="auto"/>
        </w:rPr>
      </w:pPr>
      <w:r>
        <w:rPr>
          <w:rFonts w:ascii="Arial" w:cs="Arial" w:eastAsia="Arial" w:hAnsi="Arial"/>
          <w:sz w:val="13"/>
          <w:szCs w:val="13"/>
          <w:color w:val="auto"/>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In addition, some patent applications that we or our licensors have filed have not resulted in issued patents because we or our licensors have abandoned those patent applications as changes in business and/or legal strategies dictated.</w:t>
      </w:r>
    </w:p>
    <w:p>
      <w:pPr>
        <w:spacing w:after="0" w:line="53" w:lineRule="exact"/>
        <w:rPr>
          <w:sz w:val="20"/>
          <w:szCs w:val="20"/>
          <w:color w:val="auto"/>
        </w:rPr>
      </w:pPr>
    </w:p>
    <w:p>
      <w:pPr>
        <w:ind w:right="60" w:firstLine="382"/>
        <w:spacing w:after="0" w:line="284" w:lineRule="auto"/>
        <w:rPr>
          <w:sz w:val="20"/>
          <w:szCs w:val="20"/>
          <w:color w:val="auto"/>
        </w:rPr>
      </w:pPr>
      <w:r>
        <w:rPr>
          <w:rFonts w:ascii="Arial" w:cs="Arial" w:eastAsia="Arial" w:hAnsi="Arial"/>
          <w:sz w:val="13"/>
          <w:szCs w:val="13"/>
          <w:color w:val="auto"/>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49" w:lineRule="exact"/>
        <w:rPr>
          <w:sz w:val="20"/>
          <w:szCs w:val="20"/>
          <w:color w:val="auto"/>
        </w:rPr>
      </w:pPr>
    </w:p>
    <w:p>
      <w:pPr>
        <w:ind w:right="60" w:firstLine="382"/>
        <w:spacing w:after="0" w:line="256" w:lineRule="auto"/>
        <w:rPr>
          <w:sz w:val="20"/>
          <w:szCs w:val="20"/>
          <w:color w:val="auto"/>
        </w:rPr>
      </w:pPr>
      <w:r>
        <w:rPr>
          <w:rFonts w:ascii="Arial" w:cs="Arial" w:eastAsia="Arial" w:hAnsi="Arial"/>
          <w:sz w:val="14"/>
          <w:szCs w:val="14"/>
          <w:color w:val="auto"/>
        </w:rPr>
        <w:t>Because patent applications in the United States and most other countries are confidential for a period of time after filing, and some remain so until issued, we cannot be certain that we or our licensors, licensees, or collaborators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spacing w:after="0" w:line="67" w:lineRule="exact"/>
        <w:rPr>
          <w:sz w:val="20"/>
          <w:szCs w:val="20"/>
          <w:color w:val="auto"/>
        </w:rPr>
      </w:pPr>
    </w:p>
    <w:p>
      <w:pPr>
        <w:ind w:firstLine="382"/>
        <w:spacing w:after="0" w:line="280" w:lineRule="auto"/>
        <w:rPr>
          <w:sz w:val="20"/>
          <w:szCs w:val="20"/>
          <w:color w:val="auto"/>
        </w:rPr>
      </w:pPr>
      <w:r>
        <w:rPr>
          <w:rFonts w:ascii="Arial" w:cs="Arial" w:eastAsia="Arial" w:hAnsi="Arial"/>
          <w:sz w:val="13"/>
          <w:szCs w:val="13"/>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63" w:name="page64"/>
    <w:bookmarkEnd w:id="63"/>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not be able to protect our intellectual property rights throughout the world.</w:t>
      </w:r>
    </w:p>
    <w:p>
      <w:pPr>
        <w:spacing w:after="0" w:line="98" w:lineRule="exact"/>
        <w:rPr>
          <w:sz w:val="20"/>
          <w:szCs w:val="20"/>
          <w:color w:val="auto"/>
        </w:rPr>
      </w:pPr>
    </w:p>
    <w:p>
      <w:pPr>
        <w:ind w:right="40" w:firstLine="382"/>
        <w:spacing w:after="0" w:line="279" w:lineRule="auto"/>
        <w:rPr>
          <w:sz w:val="20"/>
          <w:szCs w:val="20"/>
          <w:color w:val="auto"/>
        </w:rPr>
      </w:pPr>
      <w:r>
        <w:rPr>
          <w:rFonts w:ascii="Arial" w:cs="Arial" w:eastAsia="Arial" w:hAnsi="Arial"/>
          <w:sz w:val="13"/>
          <w:szCs w:val="13"/>
          <w:color w:val="auto"/>
        </w:rPr>
        <w:t>Filing, prosecuting, enforcing and defending patents on product candidates in all countries throughout the world would be prohibitively expensive, and our or our licensors’, licensees’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licensees or collaborators may not be able to prevent third parties from practicing our and our licensors’, licensees’ or collaborators’ inventions in all countries outside the United States or from selling or importing products made using our and our licensors’, licensees’ or collaborators’ inventions in and into the United States or other jurisdictions. Competitors may use our and our licensors’, licensees’ or collaborators’ technologies in jurisdictions where we have not obtained patent protection to develop their own products and, further, may export otherwise infringing products to territories where we and our licensors, licensees or collaborators have patent protection but enforcement is not as strong as that in the United States. These products may compete with our product candidates, and our and our licensors’, licensees’ or collaborators’ patents or other intellectual property rights may not be effective or sufficient to prevent them from competing.</w:t>
      </w:r>
    </w:p>
    <w:p>
      <w:pPr>
        <w:spacing w:after="0" w:line="53" w:lineRule="exact"/>
        <w:rPr>
          <w:sz w:val="20"/>
          <w:szCs w:val="20"/>
          <w:color w:val="auto"/>
        </w:rPr>
      </w:pPr>
    </w:p>
    <w:p>
      <w:pPr>
        <w:ind w:right="60" w:firstLine="382"/>
        <w:spacing w:after="0" w:line="279" w:lineRule="auto"/>
        <w:rPr>
          <w:sz w:val="20"/>
          <w:szCs w:val="20"/>
          <w:color w:val="auto"/>
        </w:rPr>
      </w:pPr>
      <w:r>
        <w:rPr>
          <w:rFonts w:ascii="Arial" w:cs="Arial" w:eastAsia="Arial" w:hAnsi="Arial"/>
          <w:sz w:val="13"/>
          <w:szCs w:val="13"/>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licensees or collaborators to stop the infringement of our and our licensors’, licensees’ or collaborators’ patents or marketing of competing products in violation of our and our licensors’, licensees’ or collaborators’ proprietary rights generally. Proceedings to enforce our and our licensors’, licensees’ or collaborators’ patent rights in foreign jurisdictions could result in substantial costs and divert our and our licensors’, licensees’ or collaborators’ efforts and attention from other aspects of our business, could put our and our licensors’, licensees’ or collaborators’ patents at risk of being invalidated or interpreted narrowly and our and our licensors’, licensees’ or collaborators’ patent applications at risk of not issuing and could provoke third parties to assert claims against us or our licensors, licensees or collaborators. We or our licensors, licensees or collaborators may not prevail in any lawsuits that we or our licensors, licensees or collaborators initiate, and the damages or other remedies awarded, if any, may not be commercially meaningful.</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patent law could diminish the value of patents in general, thereby impairing our ability to protect our product candidates.</w:t>
      </w:r>
    </w:p>
    <w:p>
      <w:pPr>
        <w:spacing w:after="0" w:line="98" w:lineRule="exact"/>
        <w:rPr>
          <w:sz w:val="20"/>
          <w:szCs w:val="20"/>
          <w:color w:val="auto"/>
        </w:rPr>
      </w:pPr>
    </w:p>
    <w:p>
      <w:pPr>
        <w:ind w:right="40" w:firstLine="382"/>
        <w:spacing w:after="0" w:line="281" w:lineRule="auto"/>
        <w:rPr>
          <w:sz w:val="20"/>
          <w:szCs w:val="20"/>
          <w:color w:val="auto"/>
        </w:rPr>
      </w:pPr>
      <w:r>
        <w:rPr>
          <w:rFonts w:ascii="Arial" w:cs="Arial" w:eastAsia="Arial" w:hAnsi="Arial"/>
          <w:sz w:val="14"/>
          <w:szCs w:val="14"/>
          <w:color w:val="auto"/>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spacing w:after="0" w:line="47" w:lineRule="exact"/>
        <w:rPr>
          <w:sz w:val="20"/>
          <w:szCs w:val="20"/>
          <w:color w:val="auto"/>
        </w:rPr>
      </w:pPr>
    </w:p>
    <w:p>
      <w:pPr>
        <w:ind w:right="40" w:firstLine="382"/>
        <w:spacing w:after="0" w:line="297" w:lineRule="auto"/>
        <w:rPr>
          <w:sz w:val="20"/>
          <w:szCs w:val="20"/>
          <w:color w:val="auto"/>
        </w:rPr>
      </w:pPr>
      <w:r>
        <w:rPr>
          <w:rFonts w:ascii="Arial" w:cs="Arial" w:eastAsia="Arial" w:hAnsi="Arial"/>
          <w:sz w:val="13"/>
          <w:szCs w:val="13"/>
          <w:color w:val="auto"/>
        </w:rPr>
        <w:t>Patent reform legislation could increase the uncertainties and costs surrounding the prosecution of our and our licensors’, licensees’ or collaborators’ patent applications and the enforcement or defense of our or our licensors’, licensees’ or collaborators’ issued patents. On September 16, 2011, the Leahy-Smith America Invents Act (the “AIA”) was signed into law. The AIA includes a number of significant changes to U.S. patent law. These include provisions that affect the way patent applications are prosecuted and may also affect patent litigation.</w:t>
      </w:r>
    </w:p>
    <w:p>
      <w:pPr>
        <w:spacing w:after="0" w:line="39" w:lineRule="exact"/>
        <w:rPr>
          <w:sz w:val="20"/>
          <w:szCs w:val="20"/>
          <w:color w:val="auto"/>
        </w:rPr>
      </w:pPr>
    </w:p>
    <w:p>
      <w:pPr>
        <w:ind w:firstLine="382"/>
        <w:spacing w:after="0" w:line="262" w:lineRule="auto"/>
        <w:rPr>
          <w:sz w:val="20"/>
          <w:szCs w:val="20"/>
          <w:color w:val="auto"/>
        </w:rPr>
      </w:pPr>
      <w:r>
        <w:rPr>
          <w:rFonts w:ascii="Arial" w:cs="Arial" w:eastAsia="Arial" w:hAnsi="Arial"/>
          <w:sz w:val="14"/>
          <w:szCs w:val="14"/>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61" w:lineRule="exact"/>
        <w:rPr>
          <w:sz w:val="20"/>
          <w:szCs w:val="20"/>
          <w:color w:val="auto"/>
        </w:rPr>
      </w:pPr>
    </w:p>
    <w:p>
      <w:pPr>
        <w:ind w:right="100" w:firstLine="382"/>
        <w:spacing w:after="0" w:line="260" w:lineRule="auto"/>
        <w:rPr>
          <w:sz w:val="20"/>
          <w:szCs w:val="20"/>
          <w:color w:val="auto"/>
        </w:rPr>
      </w:pPr>
      <w:r>
        <w:rPr>
          <w:rFonts w:ascii="Arial" w:cs="Arial" w:eastAsia="Arial" w:hAnsi="Arial"/>
          <w:sz w:val="14"/>
          <w:szCs w:val="14"/>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64" w:name="page65"/>
    <w:bookmarkEnd w:id="64"/>
    <w:p>
      <w:pPr>
        <w:ind w:right="420"/>
        <w:spacing w:after="0" w:line="281" w:lineRule="auto"/>
        <w:rPr>
          <w:sz w:val="20"/>
          <w:szCs w:val="20"/>
          <w:color w:val="auto"/>
        </w:rPr>
      </w:pPr>
      <w:r>
        <w:rPr>
          <w:rFonts w:ascii="Arial" w:cs="Arial" w:eastAsia="Arial" w:hAnsi="Arial"/>
          <w:sz w:val="14"/>
          <w:szCs w:val="14"/>
          <w:color w:val="auto"/>
        </w:rPr>
        <w:t>the third party as a defendant in a district court action. The AIA and its implementation could increase the uncertainties and costs surrounding the prosecution of our patent applications and the enforcement or defense of our issued patents.</w:t>
      </w:r>
    </w:p>
    <w:p>
      <w:pPr>
        <w:spacing w:after="0" w:line="47" w:lineRule="exact"/>
        <w:rPr>
          <w:sz w:val="20"/>
          <w:szCs w:val="20"/>
          <w:color w:val="auto"/>
        </w:rPr>
      </w:pPr>
    </w:p>
    <w:p>
      <w:pPr>
        <w:ind w:right="60" w:firstLine="382"/>
        <w:spacing w:after="0" w:line="278" w:lineRule="auto"/>
        <w:rPr>
          <w:sz w:val="20"/>
          <w:szCs w:val="20"/>
          <w:color w:val="auto"/>
        </w:rPr>
      </w:pPr>
      <w:r>
        <w:rPr>
          <w:rFonts w:ascii="Arial" w:cs="Arial" w:eastAsia="Arial" w:hAnsi="Arial"/>
          <w:sz w:val="13"/>
          <w:szCs w:val="13"/>
          <w:color w:val="auto"/>
        </w:rPr>
        <w:t xml:space="preserve">Moreover, future and recent past changes in the patent laws in the U.S. and abroad could impact or could increase the uncertainties and costs surrounding the prosecution of our and our licensors’, licensees’ or collaborators’ patent applications and the enforcement or defense of our or our licensors’, licensees’ or collaborators’ issued patents, which could have an impact on our business and financial conditions. For example, over the past decade, the U.S. Supreme Court and the U.S. Court of Appeals for the Federal Circuit have rendered decisions in several patent cases such as </w:t>
      </w:r>
      <w:r>
        <w:rPr>
          <w:rFonts w:ascii="Arial" w:cs="Arial" w:eastAsia="Arial" w:hAnsi="Arial"/>
          <w:sz w:val="13"/>
          <w:szCs w:val="13"/>
          <w:i w:val="1"/>
          <w:iCs w:val="1"/>
          <w:color w:val="auto"/>
        </w:rPr>
        <w:t>Association for Molecular Pathology v. Myriad Genetics, Inc.</w:t>
      </w:r>
      <w:r>
        <w:rPr>
          <w:rFonts w:ascii="Arial" w:cs="Arial" w:eastAsia="Arial" w:hAnsi="Arial"/>
          <w:sz w:val="13"/>
          <w:szCs w:val="13"/>
          <w:color w:val="auto"/>
        </w:rPr>
        <w:t xml:space="preserve">, </w:t>
      </w:r>
      <w:r>
        <w:rPr>
          <w:rFonts w:ascii="Arial" w:cs="Arial" w:eastAsia="Arial" w:hAnsi="Arial"/>
          <w:sz w:val="13"/>
          <w:szCs w:val="13"/>
          <w:i w:val="1"/>
          <w:iCs w:val="1"/>
          <w:color w:val="auto"/>
        </w:rPr>
        <w:t>BRCA1- &amp; BRCA2-Based Hereditary Cancer Test Patent Litig</w:t>
      </w:r>
      <w:r>
        <w:rPr>
          <w:rFonts w:ascii="Arial" w:cs="Arial" w:eastAsia="Arial" w:hAnsi="Arial"/>
          <w:sz w:val="13"/>
          <w:szCs w:val="13"/>
          <w:color w:val="auto"/>
        </w:rPr>
        <w:t>., Mayo Collaborative Services v. Prometheus Laboratories, Inc., and Alice Corporation Pty. Ltd. v. CLS Bank International, either narrowing the scope of patent protection available in certain circumstances or weakening the rights of patent owners in certain situations. In addition to increasing uncertainty with regard to our and our licensors’, licensees’ or collaborators’ ability to obtain patents in the future, these type of changes in the patent laws have created uncertainty with respect to the value of patents, once obtained. Depending on decisions by Congress, the federal courts, and the USPTO, the laws and regulations governing patents could change in unpredictable ways that would weaken our and our licensors’, licensees’ or collaborators’ ability to obtain new patents or to enforce existing patents and patents that we and our licensors, licensees or collaborators may obtain in the future.</w:t>
      </w:r>
    </w:p>
    <w:p>
      <w:pPr>
        <w:spacing w:after="0" w:line="135" w:lineRule="exact"/>
        <w:rPr>
          <w:sz w:val="20"/>
          <w:szCs w:val="20"/>
          <w:color w:val="auto"/>
        </w:rPr>
      </w:pPr>
    </w:p>
    <w:p>
      <w:pPr>
        <w:ind w:right="120"/>
        <w:spacing w:after="0" w:line="287" w:lineRule="auto"/>
        <w:rPr>
          <w:sz w:val="20"/>
          <w:szCs w:val="20"/>
          <w:color w:val="auto"/>
        </w:rPr>
      </w:pPr>
      <w:r>
        <w:rPr>
          <w:rFonts w:ascii="Arial" w:cs="Arial" w:eastAsia="Arial" w:hAnsi="Arial"/>
          <w:sz w:val="14"/>
          <w:szCs w:val="14"/>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43" w:lineRule="exact"/>
        <w:rPr>
          <w:sz w:val="20"/>
          <w:szCs w:val="20"/>
          <w:color w:val="auto"/>
        </w:rPr>
      </w:pPr>
    </w:p>
    <w:p>
      <w:pPr>
        <w:ind w:right="40" w:firstLine="382"/>
        <w:spacing w:after="0" w:line="257" w:lineRule="auto"/>
        <w:rPr>
          <w:sz w:val="20"/>
          <w:szCs w:val="20"/>
          <w:color w:val="auto"/>
        </w:rPr>
      </w:pPr>
      <w:r>
        <w:rPr>
          <w:rFonts w:ascii="Arial" w:cs="Arial" w:eastAsia="Arial" w:hAnsi="Arial"/>
          <w:sz w:val="14"/>
          <w:szCs w:val="14"/>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licensees or collaborators fail to maintain the patents and patent applications covering our product candidates, our competitors might be able to enter the market, which would have an adverse effect on our business.</w:t>
      </w:r>
    </w:p>
    <w:p>
      <w:pPr>
        <w:spacing w:after="0" w:line="147"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b w:val="1"/>
          <w:bCs w:val="1"/>
          <w:color w:val="auto"/>
        </w:rPr>
        <w:t>Our reliance on third parties requires us to share our trade secrets, which increases the possibility that a competitor will discover them or that our trade secrets will be misappropriated or disclosed.</w:t>
      </w:r>
    </w:p>
    <w:p>
      <w:pPr>
        <w:spacing w:after="0" w:line="43" w:lineRule="exact"/>
        <w:rPr>
          <w:sz w:val="20"/>
          <w:szCs w:val="20"/>
          <w:color w:val="auto"/>
        </w:rPr>
      </w:pPr>
    </w:p>
    <w:p>
      <w:pPr>
        <w:ind w:firstLine="382"/>
        <w:spacing w:after="0" w:line="280" w:lineRule="auto"/>
        <w:rPr>
          <w:sz w:val="20"/>
          <w:szCs w:val="20"/>
          <w:color w:val="auto"/>
        </w:rPr>
      </w:pPr>
      <w:r>
        <w:rPr>
          <w:rFonts w:ascii="Arial" w:cs="Arial" w:eastAsia="Arial" w:hAnsi="Arial"/>
          <w:sz w:val="13"/>
          <w:szCs w:val="13"/>
          <w:color w:val="auto"/>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wholly-owned technology in part by entering into confidentiality agreements and, if applicable, material transfer agreements, consulting agreements or other similar agreements with our advisors, employees, third-party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spacing w:after="0" w:line="52" w:lineRule="exact"/>
        <w:rPr>
          <w:sz w:val="20"/>
          <w:szCs w:val="20"/>
          <w:color w:val="auto"/>
        </w:rPr>
      </w:pPr>
    </w:p>
    <w:p>
      <w:pPr>
        <w:ind w:right="80" w:firstLine="382"/>
        <w:spacing w:after="0" w:line="282" w:lineRule="auto"/>
        <w:rPr>
          <w:sz w:val="20"/>
          <w:szCs w:val="20"/>
          <w:color w:val="auto"/>
        </w:rPr>
      </w:pPr>
      <w:r>
        <w:rPr>
          <w:rFonts w:ascii="Arial" w:cs="Arial" w:eastAsia="Arial" w:hAnsi="Arial"/>
          <w:sz w:val="13"/>
          <w:szCs w:val="13"/>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 discover our trade secrets through breach of our agreements with third parties, independent development or publication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65" w:name="page66"/>
    <w:bookmarkEnd w:id="65"/>
    <w:p>
      <w:pPr>
        <w:spacing w:after="0"/>
        <w:rPr>
          <w:sz w:val="20"/>
          <w:szCs w:val="20"/>
          <w:color w:val="auto"/>
        </w:rPr>
      </w:pPr>
      <w:r>
        <w:rPr>
          <w:rFonts w:ascii="Arial" w:cs="Arial" w:eastAsia="Arial" w:hAnsi="Arial"/>
          <w:sz w:val="14"/>
          <w:szCs w:val="14"/>
          <w:color w:val="auto"/>
        </w:rPr>
        <w:t>information by any of our third-party collaborators. A competitor’s discovery of our trade secrets would impair our competitive position and have an adverse impact on our business.</w:t>
      </w:r>
    </w:p>
    <w:p>
      <w:pPr>
        <w:spacing w:after="0" w:line="175" w:lineRule="exact"/>
        <w:rPr>
          <w:sz w:val="20"/>
          <w:szCs w:val="20"/>
          <w:color w:val="auto"/>
        </w:rPr>
      </w:pPr>
    </w:p>
    <w:p>
      <w:pPr>
        <w:ind w:right="80"/>
        <w:spacing w:after="0" w:line="287" w:lineRule="auto"/>
        <w:rPr>
          <w:sz w:val="20"/>
          <w:szCs w:val="20"/>
          <w:color w:val="auto"/>
        </w:rPr>
      </w:pPr>
      <w:r>
        <w:rPr>
          <w:rFonts w:ascii="Arial" w:cs="Arial" w:eastAsia="Arial" w:hAnsi="Arial"/>
          <w:sz w:val="14"/>
          <w:szCs w:val="14"/>
          <w:b w:val="1"/>
          <w:bCs w:val="1"/>
          <w:color w:val="auto"/>
        </w:rPr>
        <w:t>We may become involved in lawsuits to protect or enforce our intellectual property, which could be expensive, time-consuming and unsuccessful and have an adverse effect on the success of our business.</w:t>
      </w:r>
    </w:p>
    <w:p>
      <w:pPr>
        <w:spacing w:after="0" w:line="43" w:lineRule="exact"/>
        <w:rPr>
          <w:sz w:val="20"/>
          <w:szCs w:val="20"/>
          <w:color w:val="auto"/>
        </w:rPr>
      </w:pPr>
    </w:p>
    <w:p>
      <w:pPr>
        <w:ind w:firstLine="382"/>
        <w:spacing w:after="0" w:line="278" w:lineRule="auto"/>
        <w:rPr>
          <w:sz w:val="20"/>
          <w:szCs w:val="20"/>
          <w:color w:val="auto"/>
        </w:rPr>
      </w:pPr>
      <w:r>
        <w:rPr>
          <w:rFonts w:ascii="Arial" w:cs="Arial" w:eastAsia="Arial" w:hAnsi="Arial"/>
          <w:sz w:val="13"/>
          <w:szCs w:val="13"/>
          <w:color w:val="auto"/>
        </w:rPr>
        <w:t>Third parties may infringe our or our licensors’, licensees’ or collaborators’ patents or misappropriate or otherwise violate our or our licensors’, licensees’ or collaborators’ intellectual property rights. In the future, we or our licensors, licensees or collaborators may initiate legal proceedings to enforce or defend our or our licensors’, licensees’ or collaborators’ intellectual property rights, such as the litigation we initiated in August 2020 to enforce our rights under our collaboration with GSK, to protect our or our licensors’, licensees’ or collaborators’ trade secrets or to determine the validity or scope of intellectual property rights we own or control. Also, third parties may initiate legal proceedings against us or our licensors, licensees or collaborators to challenge the validity or scope of intellectual property rights we own or control.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 In addition, in an infringement proceeding, a court may decide that a patent owned by or licensed to us is invalid or unenforceable, or may refuse to stop the other party from using the technology at issue on the grounds that our or our licensors’, licensees’ or collaborators’ patents do not cover the technology in question. Furthermore, an adverse result in any litigation or administrative proceeding could put one or more of our or our licensors’, licensees’ or collaborators’ patents at risk of being invalidated, held unenforceable or interpreted narrowly.</w:t>
      </w:r>
    </w:p>
    <w:p>
      <w:pPr>
        <w:spacing w:after="0" w:line="54" w:lineRule="exact"/>
        <w:rPr>
          <w:sz w:val="20"/>
          <w:szCs w:val="20"/>
          <w:color w:val="auto"/>
        </w:rPr>
      </w:pPr>
    </w:p>
    <w:p>
      <w:pPr>
        <w:ind w:right="500" w:firstLine="382"/>
        <w:spacing w:after="0" w:line="297" w:lineRule="auto"/>
        <w:rPr>
          <w:sz w:val="20"/>
          <w:szCs w:val="20"/>
          <w:color w:val="auto"/>
        </w:rPr>
      </w:pPr>
      <w:r>
        <w:rPr>
          <w:rFonts w:ascii="Arial" w:cs="Arial" w:eastAsia="Arial" w:hAnsi="Arial"/>
          <w:sz w:val="13"/>
          <w:szCs w:val="13"/>
          <w:color w:val="auto"/>
        </w:rPr>
        <w:t>Accordingly, despite our or our licensors’, licensees’ or collaborators’ efforts, we or our licensors, licensees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spacing w:after="0" w:line="39" w:lineRule="exact"/>
        <w:rPr>
          <w:sz w:val="20"/>
          <w:szCs w:val="20"/>
          <w:color w:val="auto"/>
        </w:rPr>
      </w:pPr>
    </w:p>
    <w:p>
      <w:pPr>
        <w:ind w:right="20" w:firstLine="382"/>
        <w:spacing w:after="0" w:line="279" w:lineRule="auto"/>
        <w:rPr>
          <w:sz w:val="20"/>
          <w:szCs w:val="20"/>
          <w:color w:val="auto"/>
        </w:rPr>
      </w:pPr>
      <w:r>
        <w:rPr>
          <w:rFonts w:ascii="Arial" w:cs="Arial" w:eastAsia="Arial" w:hAnsi="Arial"/>
          <w:sz w:val="13"/>
          <w:szCs w:val="13"/>
          <w:color w:val="auto"/>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Such proceedings may be provoked by third parties or by us or our licensors, licensees or collaborators to protect or enforce our or our licensors’, licensees’ or collaborators’ patents or patent applications. Additionally, third-party preissuance submission of prior art to the USPTO or other foreign jurisdictions may jeopardize the issuance or scope of our or our licensors’, licensees’ or collaborators’ patent applications. An unfavorable outcome in any such proceedings could require us or our licensors, licensees or collaborators to cease using the related technology, or to attempt to license rights to it from the prevailing party. Our business could be harmed if the prevailing party does not offer us or our licensors, licensees or collaborators a license on commercially reasonable terms or at all, and we could be forced to stop commercializing our product candidates. Even if we or our licensors, licensees or collaborators obtain a license, it may be non-exclusive, thereby giving our competitors access to the same technologies licensed to us or our licensors, licensees or collaborators.</w:t>
      </w:r>
    </w:p>
    <w:p>
      <w:pPr>
        <w:spacing w:after="0" w:line="53" w:lineRule="exact"/>
        <w:rPr>
          <w:sz w:val="20"/>
          <w:szCs w:val="20"/>
          <w:color w:val="auto"/>
        </w:rPr>
      </w:pPr>
    </w:p>
    <w:p>
      <w:pPr>
        <w:ind w:right="20" w:firstLine="382"/>
        <w:spacing w:after="0" w:line="331" w:lineRule="auto"/>
        <w:rPr>
          <w:sz w:val="20"/>
          <w:szCs w:val="20"/>
          <w:color w:val="auto"/>
        </w:rPr>
      </w:pPr>
      <w:r>
        <w:rPr>
          <w:rFonts w:ascii="Arial" w:cs="Arial" w:eastAsia="Arial" w:hAnsi="Arial"/>
          <w:sz w:val="12"/>
          <w:szCs w:val="12"/>
          <w:color w:val="auto"/>
        </w:rPr>
        <w:t>In addition, if the breadth or strength of protection provided by our or our licensors’, licensees’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23" w:lineRule="exact"/>
        <w:rPr>
          <w:sz w:val="20"/>
          <w:szCs w:val="20"/>
          <w:color w:val="auto"/>
        </w:rPr>
      </w:pPr>
    </w:p>
    <w:p>
      <w:pPr>
        <w:ind w:right="280" w:firstLine="382"/>
        <w:spacing w:after="0" w:line="297" w:lineRule="auto"/>
        <w:rPr>
          <w:sz w:val="20"/>
          <w:szCs w:val="20"/>
          <w:color w:val="auto"/>
        </w:rPr>
      </w:pPr>
      <w:r>
        <w:rPr>
          <w:rFonts w:ascii="Arial" w:cs="Arial" w:eastAsia="Arial" w:hAnsi="Arial"/>
          <w:sz w:val="13"/>
          <w:szCs w:val="13"/>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If we breach the license agreements related to our product candidates, we could lose the ability to continue the development and commercialization of our product candidates.</w:t>
      </w:r>
    </w:p>
    <w:p>
      <w:pPr>
        <w:spacing w:after="0" w:line="109" w:lineRule="exact"/>
        <w:rPr>
          <w:sz w:val="20"/>
          <w:szCs w:val="20"/>
          <w:color w:val="auto"/>
        </w:rPr>
      </w:pPr>
    </w:p>
    <w:p>
      <w:pPr>
        <w:ind w:right="40" w:firstLine="382"/>
        <w:spacing w:after="0" w:line="281" w:lineRule="auto"/>
        <w:rPr>
          <w:sz w:val="20"/>
          <w:szCs w:val="20"/>
          <w:color w:val="auto"/>
        </w:rPr>
      </w:pPr>
      <w:r>
        <w:rPr>
          <w:rFonts w:ascii="Arial" w:cs="Arial" w:eastAsia="Arial" w:hAnsi="Arial"/>
          <w:sz w:val="14"/>
          <w:szCs w:val="14"/>
          <w:color w:val="auto"/>
        </w:rPr>
        <w:t>Our commercial success depends upon our ability, and the ability of our licensors, licensees and collaborators, to develop, manufacture, market and sell our product candidates and use our and our licensors’, licensees’ or collaborators’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7" w:right="339" w:bottom="1440" w:gutter="0" w:footer="0" w:header="0"/>
        </w:sectPr>
      </w:pPr>
    </w:p>
    <w:bookmarkStart w:id="66" w:name="page67"/>
    <w:bookmarkEnd w:id="66"/>
    <w:p>
      <w:pPr>
        <w:spacing w:after="0" w:line="279" w:lineRule="auto"/>
        <w:rPr>
          <w:sz w:val="20"/>
          <w:szCs w:val="20"/>
          <w:color w:val="auto"/>
        </w:rPr>
      </w:pPr>
      <w:r>
        <w:rPr>
          <w:rFonts w:ascii="Arial" w:cs="Arial" w:eastAsia="Arial" w:hAnsi="Arial"/>
          <w:sz w:val="13"/>
          <w:szCs w:val="13"/>
          <w:color w:val="auto"/>
        </w:rPr>
        <w:t>wholly-owned technologies without infringing the proprietary rights of third parties. A third party may hold intellectual property, including patent rights that are important or necessary to the development of our products. As a result, we are a party to a number of technology licenses that are important to our business and expect to enter into additional licenses in the future. For example, we have in-licensed the rights to certain intellectual property relating to SHM under our in-license agreement with the Medical Research Council, which is the subject of issued patents and pending patent applications in certain countries. If we fail to comply with the obligations under these agreements,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Disputes may arise regarding intellectual property subject to a licensing agreement, including:</w:t>
      </w:r>
    </w:p>
    <w:p>
      <w:pPr>
        <w:spacing w:after="0" w:line="94" w:lineRule="exact"/>
        <w:rPr>
          <w:sz w:val="20"/>
          <w:szCs w:val="20"/>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scope of rights granted under the license agreement and other interpretation-related issues;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extent to which our technology and processes infringe on intellectual property of the licensor that is not subject to the licensing agreement;</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sublicensing of patent and other rights under any collaboration relationships we might enter into in the future;</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diligence obligations under the license agreement and what activities satisfy those diligence obligations;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ownership of inventions and know-how resulting from the joint creation or use of intellectual property by us and our licensors, licensees or collaborators;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priority of invention of patented technology.</w:t>
      </w:r>
    </w:p>
    <w:p>
      <w:pPr>
        <w:spacing w:after="0" w:line="94" w:lineRule="exact"/>
        <w:rPr>
          <w:sz w:val="20"/>
          <w:szCs w:val="20"/>
          <w:color w:val="auto"/>
        </w:rPr>
      </w:pPr>
    </w:p>
    <w:p>
      <w:pPr>
        <w:ind w:right="100" w:firstLine="382"/>
        <w:spacing w:after="0" w:line="281" w:lineRule="auto"/>
        <w:rPr>
          <w:sz w:val="20"/>
          <w:szCs w:val="20"/>
          <w:color w:val="auto"/>
        </w:rPr>
      </w:pPr>
      <w:r>
        <w:rPr>
          <w:rFonts w:ascii="Arial" w:cs="Arial" w:eastAsia="Arial" w:hAnsi="Arial"/>
          <w:sz w:val="14"/>
          <w:szCs w:val="14"/>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28" w:lineRule="exact"/>
        <w:rPr>
          <w:sz w:val="20"/>
          <w:szCs w:val="20"/>
          <w:color w:val="auto"/>
        </w:rPr>
      </w:pPr>
    </w:p>
    <w:p>
      <w:pPr>
        <w:spacing w:after="0" w:line="372" w:lineRule="auto"/>
        <w:rPr>
          <w:sz w:val="20"/>
          <w:szCs w:val="20"/>
          <w:color w:val="auto"/>
        </w:rPr>
      </w:pPr>
      <w:r>
        <w:rPr>
          <w:rFonts w:ascii="Arial" w:cs="Arial" w:eastAsia="Arial" w:hAnsi="Arial"/>
          <w:sz w:val="12"/>
          <w:szCs w:val="12"/>
          <w:b w:val="1"/>
          <w:b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1" w:lineRule="exact"/>
        <w:rPr>
          <w:sz w:val="20"/>
          <w:szCs w:val="20"/>
          <w:color w:val="auto"/>
        </w:rPr>
      </w:pPr>
    </w:p>
    <w:p>
      <w:pPr>
        <w:ind w:right="60" w:firstLine="382"/>
        <w:spacing w:after="0" w:line="260" w:lineRule="auto"/>
        <w:rPr>
          <w:sz w:val="20"/>
          <w:szCs w:val="20"/>
          <w:color w:val="auto"/>
        </w:rPr>
      </w:pPr>
      <w:r>
        <w:rPr>
          <w:rFonts w:ascii="Arial" w:cs="Arial" w:eastAsia="Arial" w:hAnsi="Arial"/>
          <w:sz w:val="14"/>
          <w:szCs w:val="14"/>
          <w:color w:val="auto"/>
        </w:rPr>
        <w:t>Third parties may initiate legal proceedings against us or our licensors, licensees or collaborators alleging that we or our licensors, licensees or collaborators infringe their intellectual property rights or we or our licensors, licensees or collaborators may initiate legal proceedings against third parties to challenge the validity or scope of intellectual property rights controlled by third parties, including in oppositions, interferences, reexaminations, post-grant reviews, inter partes reviews or derivation proceedings in the United States or other jurisdictions.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w:t>
      </w:r>
    </w:p>
    <w:p>
      <w:pPr>
        <w:spacing w:after="0" w:line="62" w:lineRule="exact"/>
        <w:rPr>
          <w:sz w:val="20"/>
          <w:szCs w:val="20"/>
          <w:color w:val="auto"/>
        </w:rPr>
      </w:pPr>
    </w:p>
    <w:p>
      <w:pPr>
        <w:ind w:firstLine="382"/>
        <w:spacing w:after="0" w:line="307" w:lineRule="auto"/>
        <w:rPr>
          <w:sz w:val="20"/>
          <w:szCs w:val="20"/>
          <w:color w:val="auto"/>
        </w:rPr>
      </w:pPr>
      <w:r>
        <w:rPr>
          <w:rFonts w:ascii="Arial" w:cs="Arial" w:eastAsia="Arial" w:hAnsi="Arial"/>
          <w:sz w:val="12"/>
          <w:szCs w:val="12"/>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licensees or collaborators to cease using the related technology, to cease developing or commercializing our product candidates or to attempt to license rights to it from the prevailing party. Our business could be harmed if the prevailing party does not offer us or our licensors, licensees or collaborators a license on commercially reasonable terms or at all. Even if we or our licensors, licensees or collaborators obtain a license, it may be non-exclusive, thereby giving our competitors access to the same technologies licensed to us or our licensors, licensees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17" w:right="359" w:bottom="1440" w:gutter="0" w:footer="0" w:header="0"/>
        </w:sectPr>
      </w:pPr>
    </w:p>
    <w:bookmarkStart w:id="67" w:name="page68"/>
    <w:bookmarkEnd w:id="67"/>
    <w:p>
      <w:pPr>
        <w:ind w:right="280"/>
        <w:spacing w:after="0" w:line="287" w:lineRule="auto"/>
        <w:rPr>
          <w:sz w:val="20"/>
          <w:szCs w:val="20"/>
          <w:color w:val="auto"/>
        </w:rPr>
      </w:pPr>
      <w:r>
        <w:rPr>
          <w:rFonts w:ascii="Arial" w:cs="Arial" w:eastAsia="Arial" w:hAnsi="Arial"/>
          <w:sz w:val="14"/>
          <w:szCs w:val="14"/>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43" w:lineRule="exact"/>
        <w:rPr>
          <w:sz w:val="20"/>
          <w:szCs w:val="20"/>
          <w:color w:val="auto"/>
        </w:rPr>
      </w:pPr>
    </w:p>
    <w:p>
      <w:pPr>
        <w:ind w:right="60" w:firstLine="382"/>
        <w:spacing w:after="0" w:line="288" w:lineRule="auto"/>
        <w:rPr>
          <w:sz w:val="20"/>
          <w:szCs w:val="20"/>
          <w:color w:val="auto"/>
        </w:rPr>
      </w:pPr>
      <w:r>
        <w:rPr>
          <w:rFonts w:ascii="Arial" w:cs="Arial" w:eastAsia="Arial" w:hAnsi="Arial"/>
          <w:sz w:val="13"/>
          <w:szCs w:val="13"/>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46" w:lineRule="exact"/>
        <w:rPr>
          <w:sz w:val="20"/>
          <w:szCs w:val="20"/>
          <w:color w:val="auto"/>
        </w:rPr>
      </w:pPr>
    </w:p>
    <w:p>
      <w:pPr>
        <w:ind w:right="80" w:firstLine="382"/>
        <w:spacing w:after="0" w:line="262" w:lineRule="auto"/>
        <w:rPr>
          <w:sz w:val="20"/>
          <w:szCs w:val="20"/>
          <w:color w:val="auto"/>
        </w:rPr>
      </w:pPr>
      <w:r>
        <w:rPr>
          <w:rFonts w:ascii="Arial" w:cs="Arial" w:eastAsia="Arial" w:hAnsi="Arial"/>
          <w:sz w:val="14"/>
          <w:szCs w:val="14"/>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which license could be non-exclusive, thereby giving our competitors access to the same technologies licensed to us. Such a license may not be available on commercially reasonable terms or at all. Even if we successfully prosecute or defend against such claims, litigation could result in substantial costs and distract management.</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inability to protect our confidential information and trade secrets would harm our business and competitive position.</w:t>
      </w:r>
    </w:p>
    <w:p>
      <w:pPr>
        <w:spacing w:after="0" w:line="98" w:lineRule="exact"/>
        <w:rPr>
          <w:sz w:val="20"/>
          <w:szCs w:val="20"/>
          <w:color w:val="auto"/>
        </w:rPr>
      </w:pPr>
    </w:p>
    <w:p>
      <w:pPr>
        <w:ind w:firstLine="382"/>
        <w:spacing w:after="0" w:line="305" w:lineRule="auto"/>
        <w:rPr>
          <w:sz w:val="20"/>
          <w:szCs w:val="20"/>
          <w:color w:val="auto"/>
        </w:rPr>
      </w:pPr>
      <w:r>
        <w:rPr>
          <w:rFonts w:ascii="Arial" w:cs="Arial" w:eastAsia="Arial" w:hAnsi="Arial"/>
          <w:sz w:val="12"/>
          <w:szCs w:val="12"/>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121" w:lineRule="exact"/>
        <w:rPr>
          <w:sz w:val="20"/>
          <w:szCs w:val="20"/>
          <w:color w:val="auto"/>
        </w:rPr>
      </w:pPr>
    </w:p>
    <w:p>
      <w:pPr>
        <w:ind w:right="440"/>
        <w:spacing w:after="0" w:line="287" w:lineRule="auto"/>
        <w:rPr>
          <w:sz w:val="20"/>
          <w:szCs w:val="20"/>
          <w:color w:val="auto"/>
        </w:rPr>
      </w:pPr>
      <w:r>
        <w:rPr>
          <w:rFonts w:ascii="Arial" w:cs="Arial" w:eastAsia="Arial" w:hAnsi="Arial"/>
          <w:sz w:val="14"/>
          <w:szCs w:val="14"/>
          <w:b w:val="1"/>
          <w:bCs w:val="1"/>
          <w:color w:val="auto"/>
        </w:rPr>
        <w:t>If we do not obtain protection under the Hatch-Waxman Amendments and similar foreign legislation for extending the term of patents covering each of our product candidates, our business may be harmed.</w:t>
      </w:r>
    </w:p>
    <w:p>
      <w:pPr>
        <w:spacing w:after="0" w:line="43" w:lineRule="exact"/>
        <w:rPr>
          <w:sz w:val="20"/>
          <w:szCs w:val="20"/>
          <w:color w:val="auto"/>
        </w:rPr>
      </w:pPr>
    </w:p>
    <w:p>
      <w:pPr>
        <w:ind w:firstLine="382"/>
        <w:spacing w:after="0" w:line="309" w:lineRule="auto"/>
        <w:rPr>
          <w:sz w:val="20"/>
          <w:szCs w:val="20"/>
          <w:color w:val="auto"/>
        </w:rPr>
      </w:pPr>
      <w:r>
        <w:rPr>
          <w:rFonts w:ascii="Arial" w:cs="Arial" w:eastAsia="Arial" w:hAnsi="Arial"/>
          <w:sz w:val="12"/>
          <w:szCs w:val="12"/>
          <w:color w:val="auto"/>
        </w:rPr>
        <w:t>Depending upon the timing, duration and conditions of FDA marketing approval of our product candidates, one or more of our U.S. patents may be eligible for limited patent term extension under the Drug Price Competition and Patent Term Restoration Act of 1984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Ownership of Our Common Stock</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market price of our stock has been and may continue to be volatile, and you could lose all or part of your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8" w:right="319" w:bottom="1440" w:gutter="0" w:footer="0" w:header="0"/>
        </w:sectPr>
      </w:pPr>
    </w:p>
    <w:bookmarkStart w:id="68" w:name="page69"/>
    <w:bookmarkEnd w:id="68"/>
    <w:p>
      <w:pPr>
        <w:ind w:right="360" w:firstLine="382"/>
        <w:spacing w:after="0" w:line="281" w:lineRule="auto"/>
        <w:rPr>
          <w:sz w:val="20"/>
          <w:szCs w:val="20"/>
          <w:color w:val="auto"/>
        </w:rPr>
      </w:pPr>
      <w:r>
        <w:rPr>
          <w:rFonts w:ascii="Arial" w:cs="Arial" w:eastAsia="Arial" w:hAnsi="Arial"/>
          <w:sz w:val="14"/>
          <w:szCs w:val="14"/>
          <w:color w:val="auto"/>
        </w:rPr>
        <w:t>The trading price of our common stock may be highly volatile and subject to wide fluctuations in response to various factors, some of which we cannot control. In addition to the factors discussed in this “Risk Factors” section and elsewhere in this report, these factors include:</w:t>
      </w:r>
    </w:p>
    <w:p>
      <w:pPr>
        <w:spacing w:after="0" w:line="47" w:lineRule="exact"/>
        <w:rPr>
          <w:sz w:val="20"/>
          <w:szCs w:val="20"/>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success of competitive products;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regulatory actions with respect to our products or our competitors’ products;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actual or anticipated changes in our growth rate relative to our competitors;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announcements by us or our competitors of significant acquisitions, strategic collaborations, joint ventures, collaborations or capital commitments;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results of preclinical studies and clinical trials of our product candidates or those of our competitors;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regulatory or legal developments in the United States and other countries;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developments or disputes concerning patent applications, issued patents or other proprietary rights;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recruitment or departure of key personnel;</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level of expenses related to any of our product candidates or clinical development programs;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developments with respect to our existing collaboration agreements and announcements of new collaboration agreements;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disputes, breaches and terminations of our manufacturing agreements, collaborations agreements or other important agreements;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results of our efforts to in-license or acquire additional product candidates or products;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actual or anticipated changes in estimates as to financial results, development timelines or recommendations by securities analysts;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variations in our financial results or those of companies that are perceived to be similar to us;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fluctuations in the valuation of companies perceived by investors to be comparable to us;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share price and volume fluctuations attributable to inconsistent trading volume levels of our shares;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announcement or expectation of additional financing efforts;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sales of our common stock by us, our insiders or our other stockholders;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changes in the structure of health care payment systems;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market conditions in the biotechnology sector; and</w:t>
      </w:r>
    </w:p>
    <w:p>
      <w:pPr>
        <w:spacing w:after="0" w:line="93" w:lineRule="exact"/>
        <w:rPr>
          <w:rFonts w:ascii="Arial" w:cs="Arial" w:eastAsia="Arial" w:hAnsi="Arial"/>
          <w:sz w:val="14"/>
          <w:szCs w:val="14"/>
          <w:color w:val="auto"/>
        </w:rPr>
      </w:pPr>
    </w:p>
    <w:p>
      <w:pPr>
        <w:ind w:left="520" w:right="140" w:hanging="260"/>
        <w:spacing w:after="0" w:line="281" w:lineRule="auto"/>
        <w:tabs>
          <w:tab w:leader="none" w:pos="516" w:val="left"/>
        </w:tabs>
        <w:numPr>
          <w:ilvl w:val="0"/>
          <w:numId w:val="34"/>
        </w:numPr>
        <w:rPr>
          <w:rFonts w:ascii="Arial" w:cs="Arial" w:eastAsia="Arial" w:hAnsi="Arial"/>
          <w:sz w:val="14"/>
          <w:szCs w:val="14"/>
          <w:color w:val="auto"/>
        </w:rPr>
      </w:pPr>
      <w:r>
        <w:rPr>
          <w:rFonts w:ascii="Arial" w:cs="Arial" w:eastAsia="Arial" w:hAnsi="Arial"/>
          <w:sz w:val="14"/>
          <w:szCs w:val="14"/>
          <w:color w:val="auto"/>
        </w:rPr>
        <w:t>general economic uncertainty and capital markets disruptions, which have been substantially impacted by geopolitical instability due to the ongoing military conflict in Ukraine and rising interest rates and inflation.</w:t>
      </w:r>
    </w:p>
    <w:p>
      <w:pPr>
        <w:spacing w:after="0" w:line="47" w:lineRule="exact"/>
        <w:rPr>
          <w:sz w:val="20"/>
          <w:szCs w:val="20"/>
          <w:color w:val="auto"/>
        </w:rPr>
      </w:pPr>
    </w:p>
    <w:p>
      <w:pPr>
        <w:ind w:right="40" w:firstLine="382"/>
        <w:spacing w:after="0" w:line="258" w:lineRule="auto"/>
        <w:rPr>
          <w:sz w:val="20"/>
          <w:szCs w:val="20"/>
          <w:color w:val="auto"/>
        </w:rPr>
      </w:pPr>
      <w:r>
        <w:rPr>
          <w:rFonts w:ascii="Arial" w:cs="Arial" w:eastAsia="Arial" w:hAnsi="Arial"/>
          <w:sz w:val="14"/>
          <w:szCs w:val="14"/>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following periods of volatility in the overall market and the market price of a particular company’s securities, securities class action litigation has often been instituted against these companies. We have been subject to securities litigation in the past and any future securities litigation could result in substantial costs and a diversion of our management’s attention and resources. The realization of any of the above risks or any of a broad range of other risks, including those described in this “Risk Factors” section, could have a dramatic and adverse impact on the market price of our common stock.</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have broad discretion in the use of the net proceeds from our public offerings and may not use them effectively.</w:t>
      </w:r>
    </w:p>
    <w:p>
      <w:pPr>
        <w:spacing w:after="0" w:line="98" w:lineRule="exact"/>
        <w:rPr>
          <w:sz w:val="20"/>
          <w:szCs w:val="20"/>
          <w:color w:val="auto"/>
        </w:rPr>
      </w:pPr>
    </w:p>
    <w:p>
      <w:pPr>
        <w:ind w:firstLine="382"/>
        <w:spacing w:after="0" w:line="281" w:lineRule="auto"/>
        <w:rPr>
          <w:sz w:val="20"/>
          <w:szCs w:val="20"/>
          <w:color w:val="auto"/>
        </w:rPr>
      </w:pPr>
      <w:r>
        <w:rPr>
          <w:rFonts w:ascii="Arial" w:cs="Arial" w:eastAsia="Arial" w:hAnsi="Arial"/>
          <w:sz w:val="14"/>
          <w:szCs w:val="14"/>
          <w:color w:val="auto"/>
        </w:rPr>
        <w:t>Our management has broad discretion in the application of the net proceeds from our public offerings, and you will be relying on the judgment of our management regarding the application of these proceeds. Our management might not apply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317" w:right="399" w:bottom="1440" w:gutter="0" w:footer="0" w:header="0"/>
        </w:sectPr>
      </w:pPr>
    </w:p>
    <w:bookmarkStart w:id="69" w:name="page70"/>
    <w:bookmarkEnd w:id="69"/>
    <w:p>
      <w:pPr>
        <w:ind w:right="280"/>
        <w:spacing w:after="0" w:line="281" w:lineRule="auto"/>
        <w:rPr>
          <w:sz w:val="20"/>
          <w:szCs w:val="20"/>
          <w:color w:val="auto"/>
        </w:rPr>
      </w:pPr>
      <w:r>
        <w:rPr>
          <w:rFonts w:ascii="Arial" w:cs="Arial" w:eastAsia="Arial" w:hAnsi="Arial"/>
          <w:sz w:val="14"/>
          <w:szCs w:val="14"/>
          <w:color w:val="auto"/>
        </w:rPr>
        <w:t>net proceeds from our public offerings in ways that ultimately increase the value of your investment. If we do not invest or apply the net proceeds from our public offerings in ways that enhance stockholder value, we may fail to achieve expected financial results, which could cause our stock price to decline.</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be subject to securities litigation, which is expensive and could divert management attention.</w:t>
      </w:r>
    </w:p>
    <w:p>
      <w:pPr>
        <w:spacing w:after="0" w:line="98" w:lineRule="exact"/>
        <w:rPr>
          <w:sz w:val="20"/>
          <w:szCs w:val="20"/>
          <w:color w:val="auto"/>
        </w:rPr>
      </w:pPr>
    </w:p>
    <w:p>
      <w:pPr>
        <w:ind w:right="320" w:firstLine="382"/>
        <w:spacing w:after="0" w:line="267" w:lineRule="auto"/>
        <w:rPr>
          <w:sz w:val="20"/>
          <w:szCs w:val="20"/>
          <w:color w:val="auto"/>
        </w:rPr>
      </w:pPr>
      <w:r>
        <w:rPr>
          <w:rFonts w:ascii="Arial" w:cs="Arial" w:eastAsia="Arial" w:hAnsi="Arial"/>
          <w:sz w:val="14"/>
          <w:szCs w:val="14"/>
          <w:color w:val="auto"/>
        </w:rPr>
        <w:t>The market price of our common stock is volatile and, in the past, companies that have experienced volatility in the market price of their stock have been subject to securities class action litigation. We have been, and may in the future be, the target of this type of litigation. Regardless of the outcome, future litigation against us could result in substantial costs and divert our management’s attention from other business concerns, which could seriously harm our business.</w:t>
      </w:r>
    </w:p>
    <w:p>
      <w:pPr>
        <w:spacing w:after="0" w:line="138" w:lineRule="exact"/>
        <w:rPr>
          <w:sz w:val="20"/>
          <w:szCs w:val="20"/>
          <w:color w:val="auto"/>
        </w:rPr>
      </w:pPr>
    </w:p>
    <w:p>
      <w:pPr>
        <w:ind w:right="160"/>
        <w:spacing w:after="0" w:line="287" w:lineRule="auto"/>
        <w:rPr>
          <w:sz w:val="20"/>
          <w:szCs w:val="20"/>
          <w:color w:val="auto"/>
        </w:rPr>
      </w:pPr>
      <w:r>
        <w:rPr>
          <w:rFonts w:ascii="Arial" w:cs="Arial" w:eastAsia="Arial" w:hAnsi="Arial"/>
          <w:sz w:val="14"/>
          <w:szCs w:val="14"/>
          <w:b w:val="1"/>
          <w:bCs w:val="1"/>
          <w:color w:val="auto"/>
        </w:rPr>
        <w:t>The requirements of being a public company may strain our resources, divert management’s attention, and affect our ability to attract and retain additional executive management and qualified board members.</w:t>
      </w:r>
    </w:p>
    <w:p>
      <w:pPr>
        <w:spacing w:after="0" w:line="43" w:lineRule="exact"/>
        <w:rPr>
          <w:sz w:val="20"/>
          <w:szCs w:val="20"/>
          <w:color w:val="auto"/>
        </w:rPr>
      </w:pPr>
    </w:p>
    <w:p>
      <w:pPr>
        <w:ind w:firstLine="382"/>
        <w:spacing w:after="0" w:line="278" w:lineRule="auto"/>
        <w:rPr>
          <w:sz w:val="20"/>
          <w:szCs w:val="20"/>
          <w:color w:val="auto"/>
        </w:rPr>
      </w:pPr>
      <w:r>
        <w:rPr>
          <w:rFonts w:ascii="Arial" w:cs="Arial" w:eastAsia="Arial" w:hAnsi="Arial"/>
          <w:sz w:val="13"/>
          <w:szCs w:val="13"/>
          <w:color w:val="auto"/>
        </w:rPr>
        <w:t>We are subject to the reporting requirements of the Exchange Act, the Sarbanes-Oxley Act, the Dodd-Frank Wall Street Reform and Protection Act, as well as rules adopted, and to be adopted, by the SEC and the Nasdaq Global Select Market. Our management and other personnel devote a substantial amount of time to these compliance initiatives. In addition, changing laws, regulations, and standards relating to corporate governance and public disclosure are creating uncertainty for public companies, increasing legal and financial compliance costs, and making some activities more time consuming. We intend to continue to invest resources to comply with evolving laws, regulations, and standards, and this investment may result in increased general and administrative expenses and a diversion of management’s time and attention.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For example, we expect these rules and regulations to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and future requirements. The impact of these requirements could also make it more difficult for us to attract and retain qualified persons to serve on our board of directors, our board committees or as executive officers.</w:t>
      </w:r>
    </w:p>
    <w:p>
      <w:pPr>
        <w:spacing w:after="0" w:line="54" w:lineRule="exact"/>
        <w:rPr>
          <w:sz w:val="20"/>
          <w:szCs w:val="20"/>
          <w:color w:val="auto"/>
        </w:rPr>
      </w:pPr>
    </w:p>
    <w:p>
      <w:pPr>
        <w:ind w:firstLine="382"/>
        <w:spacing w:after="0" w:line="298" w:lineRule="auto"/>
        <w:rPr>
          <w:sz w:val="20"/>
          <w:szCs w:val="20"/>
          <w:color w:val="auto"/>
        </w:rPr>
      </w:pPr>
      <w:r>
        <w:rPr>
          <w:rFonts w:ascii="Arial" w:cs="Arial" w:eastAsia="Arial" w:hAnsi="Arial"/>
          <w:sz w:val="12"/>
          <w:szCs w:val="12"/>
          <w:color w:val="auto"/>
        </w:rPr>
        <w:t>In addition, we are required to maintain internal control over financial reporting and to report any material weaknesses in such internal control. Section 404 of the Sarbanes-Oxley Act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We have only recently compiled the systems, processes and documentation necessary to comply with Section 404 of the Sarbanes-Oxley Act. We will need to maintain and enhance these processes and controls as we grow, and we may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Regardless of compliance with</w:t>
      </w:r>
    </w:p>
    <w:p>
      <w:pPr>
        <w:spacing w:after="0" w:line="1" w:lineRule="exact"/>
        <w:rPr>
          <w:sz w:val="20"/>
          <w:szCs w:val="20"/>
          <w:color w:val="auto"/>
        </w:rPr>
      </w:pPr>
    </w:p>
    <w:p>
      <w:pPr>
        <w:ind w:right="200"/>
        <w:spacing w:after="0" w:line="266" w:lineRule="auto"/>
        <w:rPr>
          <w:sz w:val="20"/>
          <w:szCs w:val="20"/>
          <w:color w:val="auto"/>
        </w:rPr>
      </w:pPr>
      <w:r>
        <w:rPr>
          <w:rFonts w:ascii="Arial" w:cs="Arial" w:eastAsia="Arial" w:hAnsi="Arial"/>
          <w:sz w:val="14"/>
          <w:szCs w:val="14"/>
          <w:color w:val="auto"/>
        </w:rPr>
        <w:t>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138" w:lineRule="exact"/>
        <w:rPr>
          <w:sz w:val="20"/>
          <w:szCs w:val="20"/>
          <w:color w:val="auto"/>
        </w:rPr>
      </w:pPr>
    </w:p>
    <w:p>
      <w:pPr>
        <w:spacing w:after="0" w:line="287" w:lineRule="auto"/>
        <w:rPr>
          <w:sz w:val="20"/>
          <w:szCs w:val="20"/>
          <w:color w:val="auto"/>
        </w:rPr>
      </w:pPr>
      <w:r>
        <w:rPr>
          <w:rFonts w:ascii="Arial" w:cs="Arial" w:eastAsia="Arial" w:hAnsi="Arial"/>
          <w:sz w:val="14"/>
          <w:szCs w:val="14"/>
          <w:b w:val="1"/>
          <w:b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43" w:lineRule="exact"/>
        <w:rPr>
          <w:sz w:val="20"/>
          <w:szCs w:val="20"/>
          <w:color w:val="auto"/>
        </w:rPr>
      </w:pPr>
    </w:p>
    <w:p>
      <w:pPr>
        <w:ind w:firstLine="382"/>
        <w:spacing w:after="0" w:line="257" w:lineRule="auto"/>
        <w:rPr>
          <w:sz w:val="20"/>
          <w:szCs w:val="20"/>
          <w:color w:val="auto"/>
        </w:rPr>
      </w:pPr>
      <w:r>
        <w:rPr>
          <w:rFonts w:ascii="Arial" w:cs="Arial" w:eastAsia="Arial" w:hAnsi="Arial"/>
          <w:sz w:val="14"/>
          <w:szCs w:val="14"/>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We also have registered all shares of common stock that we may issue under our equity incentive plans or that are issuable upon exercise of outstanding options.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 Such sales may also result in material dilution to our existing stockholders, and new investors could gain rights, preferences and privileges senior to the holders of our common stock. In November 2022,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317" w:right="379" w:bottom="1440" w:gutter="0" w:footer="0" w:header="0"/>
        </w:sectPr>
      </w:pPr>
    </w:p>
    <w:bookmarkStart w:id="70" w:name="page71"/>
    <w:bookmarkEnd w:id="70"/>
    <w:p>
      <w:pPr>
        <w:ind w:right="240"/>
        <w:spacing w:after="0" w:line="281" w:lineRule="auto"/>
        <w:rPr>
          <w:sz w:val="20"/>
          <w:szCs w:val="20"/>
          <w:color w:val="auto"/>
        </w:rPr>
      </w:pPr>
      <w:r>
        <w:rPr>
          <w:rFonts w:ascii="Arial" w:cs="Arial" w:eastAsia="Arial" w:hAnsi="Arial"/>
          <w:sz w:val="14"/>
          <w:szCs w:val="14"/>
          <w:color w:val="auto"/>
        </w:rPr>
        <w:t>entered into the Cowen Sales Agreement with Cowen and Company, LLC, through which we may offer and sell shares of our common stock, having an aggregate offering of up to $150.0 million through Cowen and Company, LLC as our sales agent.</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disclosure controls and procedures may not prevent or detect all errors or acts of fraud.</w:t>
      </w:r>
    </w:p>
    <w:p>
      <w:pPr>
        <w:spacing w:after="0" w:line="98" w:lineRule="exact"/>
        <w:rPr>
          <w:sz w:val="20"/>
          <w:szCs w:val="20"/>
          <w:color w:val="auto"/>
        </w:rPr>
      </w:pPr>
    </w:p>
    <w:p>
      <w:pPr>
        <w:ind w:right="120" w:firstLine="382"/>
        <w:spacing w:after="0" w:line="262" w:lineRule="auto"/>
        <w:rPr>
          <w:sz w:val="20"/>
          <w:szCs w:val="20"/>
          <w:color w:val="auto"/>
        </w:rPr>
      </w:pPr>
      <w:r>
        <w:rPr>
          <w:rFonts w:ascii="Arial" w:cs="Arial" w:eastAsia="Arial" w:hAnsi="Arial"/>
          <w:sz w:val="14"/>
          <w:szCs w:val="14"/>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61" w:lineRule="exact"/>
        <w:rPr>
          <w:sz w:val="20"/>
          <w:szCs w:val="20"/>
          <w:color w:val="auto"/>
        </w:rPr>
      </w:pPr>
    </w:p>
    <w:p>
      <w:pPr>
        <w:jc w:val="both"/>
        <w:ind w:firstLine="382"/>
        <w:spacing w:after="0" w:line="267" w:lineRule="auto"/>
        <w:rPr>
          <w:sz w:val="20"/>
          <w:szCs w:val="20"/>
          <w:color w:val="auto"/>
        </w:rPr>
      </w:pPr>
      <w:r>
        <w:rPr>
          <w:rFonts w:ascii="Arial" w:cs="Arial" w:eastAsia="Arial" w:hAnsi="Arial"/>
          <w:sz w:val="14"/>
          <w:szCs w:val="14"/>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do not intend to pay dividends on our common stock, so any returns will be limited to the value of our stock.</w:t>
      </w:r>
    </w:p>
    <w:p>
      <w:pPr>
        <w:spacing w:after="0" w:line="98" w:lineRule="exact"/>
        <w:rPr>
          <w:sz w:val="20"/>
          <w:szCs w:val="20"/>
          <w:color w:val="auto"/>
        </w:rPr>
      </w:pPr>
    </w:p>
    <w:p>
      <w:pPr>
        <w:ind w:right="440" w:firstLine="382"/>
        <w:spacing w:after="0" w:line="321" w:lineRule="auto"/>
        <w:rPr>
          <w:sz w:val="20"/>
          <w:szCs w:val="20"/>
          <w:color w:val="auto"/>
        </w:rPr>
      </w:pPr>
      <w:r>
        <w:rPr>
          <w:rFonts w:ascii="Arial" w:cs="Arial" w:eastAsia="Arial" w:hAnsi="Arial"/>
          <w:sz w:val="13"/>
          <w:szCs w:val="13"/>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105" w:lineRule="exact"/>
        <w:rPr>
          <w:sz w:val="20"/>
          <w:szCs w:val="20"/>
          <w:color w:val="auto"/>
        </w:rPr>
      </w:pPr>
    </w:p>
    <w:p>
      <w:pPr>
        <w:ind w:right="300"/>
        <w:spacing w:after="0" w:line="287" w:lineRule="auto"/>
        <w:rPr>
          <w:sz w:val="20"/>
          <w:szCs w:val="20"/>
          <w:color w:val="auto"/>
        </w:rPr>
      </w:pPr>
      <w:r>
        <w:rPr>
          <w:rFonts w:ascii="Arial" w:cs="Arial" w:eastAsia="Arial" w:hAnsi="Arial"/>
          <w:sz w:val="14"/>
          <w:szCs w:val="14"/>
          <w:b w:val="1"/>
          <w:bCs w:val="1"/>
          <w:color w:val="auto"/>
        </w:rPr>
        <w:t>Provisions in our restated certificate of incorporation and restated bylaws and Delaware law might discourage, delay or prevent a change in control of our company or changes in our management and, therefore, depress the market price of our common stock.</w:t>
      </w:r>
    </w:p>
    <w:p>
      <w:pPr>
        <w:spacing w:after="0" w:line="43" w:lineRule="exact"/>
        <w:rPr>
          <w:sz w:val="20"/>
          <w:szCs w:val="20"/>
          <w:color w:val="auto"/>
        </w:rPr>
      </w:pPr>
    </w:p>
    <w:p>
      <w:pPr>
        <w:ind w:right="120" w:firstLine="382"/>
        <w:spacing w:after="0" w:line="281" w:lineRule="auto"/>
        <w:rPr>
          <w:sz w:val="20"/>
          <w:szCs w:val="20"/>
          <w:color w:val="auto"/>
        </w:rPr>
      </w:pPr>
      <w:r>
        <w:rPr>
          <w:rFonts w:ascii="Arial" w:cs="Arial" w:eastAsia="Arial" w:hAnsi="Arial"/>
          <w:sz w:val="14"/>
          <w:szCs w:val="14"/>
          <w:color w:val="auto"/>
        </w:rPr>
        <w:t>Our restated certificate of incorporation and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47" w:lineRule="exact"/>
        <w:rPr>
          <w:sz w:val="20"/>
          <w:szCs w:val="20"/>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establish a classified board of directors so that not all members of our board are elected at one time;</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permit only the board of directors to establish the number of directors and fill vacancies on the board;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provide that directors may only be removed “for cause” and only with the approval of two-thirds of our stockholders;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require super-majority voting to amend some provisions in our restated certificate of incorporation and restated bylaws;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authorize the issuance of “blank check” preferred stock that our board could use to implement a stockholder rights plan (also known as a “poison pill”);</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eliminate the ability of our stockholders to call special meetings of stockholders;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prohibit stockholder action by written consent, which requires all stockholder actions to be taken at a meeting of our stockholders;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prohibit cumulative voting;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establish advance notice requirements for nominations for election to our board or for proposing matters that can be acted upon by stockholders at annual stockholder meetings.</w:t>
      </w:r>
    </w:p>
    <w:p>
      <w:pPr>
        <w:spacing w:after="0" w:line="190" w:lineRule="exact"/>
        <w:rPr>
          <w:sz w:val="20"/>
          <w:szCs w:val="20"/>
          <w:color w:val="auto"/>
        </w:rPr>
      </w:pPr>
    </w:p>
    <w:p>
      <w:pPr>
        <w:ind w:right="60" w:firstLine="382"/>
        <w:spacing w:after="0" w:line="281" w:lineRule="auto"/>
        <w:rPr>
          <w:sz w:val="20"/>
          <w:szCs w:val="20"/>
          <w:color w:val="auto"/>
        </w:rPr>
      </w:pPr>
      <w:r>
        <w:rPr>
          <w:rFonts w:ascii="Arial" w:cs="Arial" w:eastAsia="Arial" w:hAnsi="Arial"/>
          <w:sz w:val="14"/>
          <w:szCs w:val="14"/>
          <w:color w:val="auto"/>
        </w:rPr>
        <w:t>In addition, Section 203 of the Delaware General Corporation Law (“DGCL”) may discourage, delay or prevent a change in control of our company. Section 203 of the DGCL imposes certain restrictions on mergers, business combinations and other transactions between us and holders of 15% or more of our common stock.</w:t>
      </w:r>
    </w:p>
    <w:p>
      <w:pPr>
        <w:spacing w:after="0" w:line="128" w:lineRule="exact"/>
        <w:rPr>
          <w:sz w:val="20"/>
          <w:szCs w:val="20"/>
          <w:color w:val="auto"/>
        </w:rPr>
      </w:pPr>
    </w:p>
    <w:p>
      <w:pPr>
        <w:ind w:right="140"/>
        <w:spacing w:after="0" w:line="287" w:lineRule="auto"/>
        <w:rPr>
          <w:sz w:val="20"/>
          <w:szCs w:val="20"/>
          <w:color w:val="auto"/>
        </w:rPr>
      </w:pPr>
      <w:r>
        <w:rPr>
          <w:rFonts w:ascii="Arial" w:cs="Arial" w:eastAsia="Arial" w:hAnsi="Arial"/>
          <w:sz w:val="14"/>
          <w:szCs w:val="14"/>
          <w:b w:val="1"/>
          <w:bCs w:val="1"/>
          <w:color w:val="auto"/>
        </w:rPr>
        <w:t>If securities or industry analysts do not publish research or reports about our business, or if they issue an adverse or misleading opinion regarding our stock, our stock price and trading volume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7" w:right="339" w:bottom="1440" w:gutter="0" w:footer="0" w:header="0"/>
        </w:sectPr>
      </w:pPr>
    </w:p>
    <w:bookmarkStart w:id="71" w:name="page72"/>
    <w:bookmarkEnd w:id="71"/>
    <w:p>
      <w:pPr>
        <w:jc w:val="both"/>
        <w:ind w:firstLine="382"/>
        <w:spacing w:after="0" w:line="262" w:lineRule="auto"/>
        <w:rPr>
          <w:sz w:val="20"/>
          <w:szCs w:val="20"/>
          <w:color w:val="auto"/>
        </w:rPr>
      </w:pPr>
      <w:r>
        <w:rPr>
          <w:rFonts w:ascii="Arial" w:cs="Arial" w:eastAsia="Arial" w:hAnsi="Arial"/>
          <w:sz w:val="14"/>
          <w:szCs w:val="14"/>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 trial results or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42" w:lineRule="exact"/>
        <w:rPr>
          <w:sz w:val="20"/>
          <w:szCs w:val="20"/>
          <w:color w:val="auto"/>
        </w:rPr>
      </w:pPr>
    </w:p>
    <w:p>
      <w:pPr>
        <w:ind w:right="160"/>
        <w:spacing w:after="0" w:line="287" w:lineRule="auto"/>
        <w:rPr>
          <w:sz w:val="20"/>
          <w:szCs w:val="20"/>
          <w:color w:val="auto"/>
        </w:rPr>
      </w:pPr>
      <w:r>
        <w:rPr>
          <w:rFonts w:ascii="Arial" w:cs="Arial" w:eastAsia="Arial" w:hAnsi="Arial"/>
          <w:sz w:val="14"/>
          <w:szCs w:val="14"/>
          <w:b w:val="1"/>
          <w:bCs w:val="1"/>
          <w:color w:val="auto"/>
        </w:rPr>
        <w:t>We plan to use potential future operating losses and our federal and state net operating loss (“NOL”) carryforwards to offset taxable income from revenue generated from operations or corporate collaborations. However, our ability to use NOL carryforwards could be limited as a result of additional issuances of equity securities.</w:t>
      </w:r>
    </w:p>
    <w:p>
      <w:pPr>
        <w:spacing w:after="0" w:line="43" w:lineRule="exact"/>
        <w:rPr>
          <w:sz w:val="20"/>
          <w:szCs w:val="20"/>
          <w:color w:val="auto"/>
        </w:rPr>
      </w:pPr>
    </w:p>
    <w:p>
      <w:pPr>
        <w:ind w:right="100" w:firstLine="382"/>
        <w:spacing w:after="0" w:line="256" w:lineRule="auto"/>
        <w:rPr>
          <w:sz w:val="20"/>
          <w:szCs w:val="20"/>
          <w:color w:val="auto"/>
        </w:rPr>
      </w:pPr>
      <w:r>
        <w:rPr>
          <w:rFonts w:ascii="Arial" w:cs="Arial" w:eastAsia="Arial" w:hAnsi="Arial"/>
          <w:sz w:val="14"/>
          <w:szCs w:val="14"/>
          <w:color w:val="auto"/>
        </w:rPr>
        <w:t>We plan to use our current year operating losses to offset taxable income from any revenue generated from operations or corporate collaborations. To the extent we have taxable income, we plan to use our NOL carryforwards to offset income that would otherwise be taxable. However, the benefits from the use of our NOL carryforwards may be impaired or limited under Section 382 of the Internal Revenue Code of 1986, as amended (the “Code”), if we incur a cumulative ownership change of more than 50%, as interpreted by the U.S. Internal Revenue Service, over a three-year period. Under legislative changes made by U.S. federal tax legislation, commonly referred to as the Tax Cuts and Jobs Act, or the TCJA, the U.S. federal net operating losses incurred in 2018 and in future years may be carried forward indefinitely, but the ability to utilize such federal net operating losses to offset taxable income is limited to 80% of our taxable income before the deduction for such net operating loss carryovers. It is uncertain if and to what extent various states will conform to the TCJA. Our use of federal NOL carryforwards could be limited further by the provisions of Section 382 of the Code depending upon the timing and amount of additional equity securities that we have issued or will issue. State NOL carryforwards may be similarly limited. Any such disallowances may result in greater tax liabilities than we would incur in the absence of such a limitation, and any increased liabilities could adversely affect our business, results of operations, financial condition and cash flow.</w:t>
      </w:r>
    </w:p>
    <w:p>
      <w:pPr>
        <w:spacing w:after="0" w:line="67" w:lineRule="exact"/>
        <w:rPr>
          <w:sz w:val="20"/>
          <w:szCs w:val="20"/>
          <w:color w:val="auto"/>
        </w:rPr>
      </w:pPr>
    </w:p>
    <w:p>
      <w:pPr>
        <w:ind w:right="20" w:firstLine="382"/>
        <w:spacing w:after="0" w:line="281" w:lineRule="auto"/>
        <w:rPr>
          <w:sz w:val="20"/>
          <w:szCs w:val="20"/>
          <w:color w:val="auto"/>
        </w:rPr>
      </w:pPr>
      <w:r>
        <w:rPr>
          <w:rFonts w:ascii="Arial" w:cs="Arial" w:eastAsia="Arial" w:hAnsi="Arial"/>
          <w:sz w:val="14"/>
          <w:szCs w:val="14"/>
          <w:color w:val="auto"/>
        </w:rPr>
        <w:t>As of December 31, 2021, we have federal NOLs of approximately $293.4 million, which expire beginning December 31, 2028 through December 31, 2037, if not used to reduce income taxes payable in the future.</w:t>
      </w:r>
    </w:p>
    <w:p>
      <w:pPr>
        <w:spacing w:after="0" w:line="128" w:lineRule="exact"/>
        <w:rPr>
          <w:sz w:val="20"/>
          <w:szCs w:val="20"/>
          <w:color w:val="auto"/>
        </w:rPr>
      </w:pPr>
    </w:p>
    <w:p>
      <w:pPr>
        <w:ind w:right="300"/>
        <w:spacing w:after="0" w:line="287" w:lineRule="auto"/>
        <w:rPr>
          <w:sz w:val="20"/>
          <w:szCs w:val="20"/>
          <w:color w:val="auto"/>
        </w:rPr>
      </w:pPr>
      <w:r>
        <w:rPr>
          <w:rFonts w:ascii="Arial" w:cs="Arial" w:eastAsia="Arial" w:hAnsi="Arial"/>
          <w:sz w:val="14"/>
          <w:szCs w:val="14"/>
          <w:b w:val="1"/>
          <w:bCs w:val="1"/>
          <w:color w:val="auto"/>
        </w:rPr>
        <w:t>We are a smaller reporting company and may elect to comply with reduced public company reporting requirements applicable to smaller reporting companies, which could make our common stock less attractive to investors.</w:t>
      </w:r>
    </w:p>
    <w:p>
      <w:pPr>
        <w:spacing w:after="0" w:line="43" w:lineRule="exact"/>
        <w:rPr>
          <w:sz w:val="20"/>
          <w:szCs w:val="20"/>
          <w:color w:val="auto"/>
        </w:rPr>
      </w:pPr>
    </w:p>
    <w:p>
      <w:pPr>
        <w:ind w:right="20" w:firstLine="382"/>
        <w:spacing w:after="0" w:line="260" w:lineRule="auto"/>
        <w:rPr>
          <w:sz w:val="20"/>
          <w:szCs w:val="20"/>
          <w:color w:val="auto"/>
        </w:rPr>
      </w:pPr>
      <w:r>
        <w:rPr>
          <w:rFonts w:ascii="Arial" w:cs="Arial" w:eastAsia="Arial" w:hAnsi="Arial"/>
          <w:sz w:val="14"/>
          <w:szCs w:val="14"/>
          <w:color w:val="auto"/>
        </w:rPr>
        <w:t>We are a “smaller reporting company,” meaning that we are not an investment company, an asset-backed issuer, or a majority-owned subsidiary of a parent company that is not a “smaller reporting company,” and have either: (i) a public float of less than $250 million or (ii) annual revenues of less than $100 million during the most recently completed fiscal year and (A) no public float or (B) a public float of less than $700 million. As a “smaller reporting company,” we are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spacing w:after="0" w:line="62" w:lineRule="exact"/>
        <w:rPr>
          <w:sz w:val="20"/>
          <w:szCs w:val="20"/>
          <w:color w:val="auto"/>
        </w:rPr>
      </w:pPr>
    </w:p>
    <w:p>
      <w:pPr>
        <w:ind w:right="20" w:firstLine="382"/>
        <w:spacing w:after="0" w:line="281" w:lineRule="auto"/>
        <w:rPr>
          <w:sz w:val="20"/>
          <w:szCs w:val="20"/>
          <w:color w:val="auto"/>
        </w:rPr>
      </w:pPr>
      <w:r>
        <w:rPr>
          <w:rFonts w:ascii="Arial" w:cs="Arial" w:eastAsia="Arial" w:hAnsi="Arial"/>
          <w:sz w:val="14"/>
          <w:szCs w:val="14"/>
          <w:color w:val="auto"/>
        </w:rPr>
        <w:t>If some investors find our common stock less attractive as a result of any choices to reduce future disclosure we may make, there may be a less active trading market for our common stock and our stock price may be more volatile.</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Unregistered Sales of Equity Securities and Use of Proceeds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Defaults upon Senior Securities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7" w:right="339" w:bottom="1440" w:gutter="0" w:footer="0" w:header="0"/>
        </w:sectPr>
      </w:pPr>
    </w:p>
    <w:bookmarkStart w:id="72" w:name="page73"/>
    <w:bookmarkEnd w:id="72"/>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Other Information</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Termination of Prior ATM Agreement</w:t>
      </w:r>
    </w:p>
    <w:p>
      <w:pPr>
        <w:spacing w:after="0" w:line="94" w:lineRule="exact"/>
        <w:rPr>
          <w:sz w:val="20"/>
          <w:szCs w:val="20"/>
          <w:color w:val="auto"/>
        </w:rPr>
      </w:pPr>
    </w:p>
    <w:p>
      <w:pPr>
        <w:ind w:firstLine="382"/>
        <w:spacing w:after="0" w:line="281" w:lineRule="auto"/>
        <w:rPr>
          <w:sz w:val="20"/>
          <w:szCs w:val="20"/>
          <w:color w:val="auto"/>
        </w:rPr>
      </w:pPr>
      <w:r>
        <w:rPr>
          <w:rFonts w:ascii="Arial" w:cs="Arial" w:eastAsia="Arial" w:hAnsi="Arial"/>
          <w:sz w:val="14"/>
          <w:szCs w:val="14"/>
          <w:color w:val="auto"/>
        </w:rPr>
        <w:t>In December 2021, we entered into an Open Market Sales Agreement with Jefferies LLC, through which we may offer and sell shares of our common stock, having an aggregate offering of up to $150.0 million through Jefferies LLC as our sales agent. On November 3, 2022, we terminated this agreement effective as of November 8, 2022.</w:t>
      </w:r>
    </w:p>
    <w:p>
      <w:pPr>
        <w:spacing w:after="0" w:line="47"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Entry into New ATM Agreement</w:t>
      </w:r>
    </w:p>
    <w:p>
      <w:pPr>
        <w:spacing w:after="0" w:line="94" w:lineRule="exact"/>
        <w:rPr>
          <w:sz w:val="20"/>
          <w:szCs w:val="20"/>
          <w:color w:val="auto"/>
        </w:rPr>
      </w:pPr>
    </w:p>
    <w:p>
      <w:pPr>
        <w:ind w:right="40" w:firstLine="382"/>
        <w:spacing w:after="0" w:line="280" w:lineRule="auto"/>
        <w:rPr>
          <w:sz w:val="20"/>
          <w:szCs w:val="20"/>
          <w:color w:val="auto"/>
        </w:rPr>
      </w:pPr>
      <w:r>
        <w:rPr>
          <w:rFonts w:ascii="Arial" w:cs="Arial" w:eastAsia="Arial" w:hAnsi="Arial"/>
          <w:sz w:val="13"/>
          <w:szCs w:val="13"/>
          <w:color w:val="auto"/>
        </w:rPr>
        <w:t>On November 8, 2022, we entered into the Cowen Sales Agreement with Cowen and Company, LLC, through which we may offer and sell shares of our common stock, having an aggregate offering of up to $150.0 million through Cowen and Company, LLC as our sales agent. Sales of our common stock through Cowen may be made by any method that is deemed an “at the market” offering as defined in Rule 415 promulgated under the Securities Act. Cowen has agreed to use its commercially reasonable efforts consistent with its normal trading and sales practices to sell shares of our common stock based upon our instructions. We are not obligated to make any sales of our common stock under the Cowen Sales Agreement. Any sales under the Cowen Sales Agreement will be made pursuant to our shelf registration statement on Form S-3 (File No. 333-261953) declared effective by the Commission on January 11, 2022, and a prospectus supplement relating to such offering filed with the Commission on November 8, 2022. We will pay Cowen a commission of up to 3% of the gross proceeds of any shares of common stock sold pursuant to the Cowen Sales Agreement, and we have also provided Cowen with customary indemnification and contribution rights.</w:t>
      </w:r>
    </w:p>
    <w:p>
      <w:pPr>
        <w:spacing w:after="0" w:line="52" w:lineRule="exact"/>
        <w:rPr>
          <w:sz w:val="20"/>
          <w:szCs w:val="20"/>
          <w:color w:val="auto"/>
        </w:rPr>
      </w:pPr>
    </w:p>
    <w:p>
      <w:pPr>
        <w:ind w:right="220" w:firstLine="382"/>
        <w:spacing w:after="0" w:line="281" w:lineRule="auto"/>
        <w:rPr>
          <w:sz w:val="20"/>
          <w:szCs w:val="20"/>
          <w:color w:val="auto"/>
        </w:rPr>
      </w:pPr>
      <w:r>
        <w:rPr>
          <w:rFonts w:ascii="Arial" w:cs="Arial" w:eastAsia="Arial" w:hAnsi="Arial"/>
          <w:sz w:val="14"/>
          <w:szCs w:val="14"/>
          <w:color w:val="auto"/>
        </w:rPr>
        <w:t>The foregoing summary of the Cowen Sales Agreement does not purport to be complete and is qualified in its entirety by reference to the full text of the Cowen Sales Agreement, a copy of which is attached as Exhibit 10.24 hereto.</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Exhibits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The exhibits filed or furnished as part of this Quarterly Report on Form 10-Q are set forth on the Exhibit Index, below.</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440" w:right="359" w:bottom="1440" w:gutter="0" w:footer="0" w:header="0"/>
        </w:sectPr>
      </w:pPr>
    </w:p>
    <w:bookmarkStart w:id="73" w:name="page74"/>
    <w:bookmarkEnd w:id="73"/>
    <w:tbl>
      <w:tblPr>
        <w:tblLayout w:type="fixed"/>
        <w:tblInd w:w="15" w:type="dxa"/>
        <w:tblCellMar>
          <w:top w:w="0" w:type="dxa"/>
          <w:left w:w="0" w:type="dxa"/>
          <w:bottom w:w="0" w:type="dxa"/>
          <w:right w:w="0" w:type="dxa"/>
        </w:tblCellMar>
      </w:tblPr>
      <w:tr>
        <w:trPr>
          <w:trHeight w:val="165"/>
        </w:trPr>
        <w:tc>
          <w:tcPr>
            <w:tcW w:w="1160" w:type="dxa"/>
            <w:vAlign w:val="bottom"/>
          </w:tcPr>
          <w:p>
            <w:pPr>
              <w:ind w:left="300"/>
              <w:spacing w:after="0"/>
              <w:rPr>
                <w:sz w:val="20"/>
                <w:szCs w:val="20"/>
                <w:color w:val="auto"/>
              </w:rPr>
            </w:pPr>
            <w:r>
              <w:rPr>
                <w:rFonts w:ascii="Arial" w:cs="Arial" w:eastAsia="Arial" w:hAnsi="Arial"/>
                <w:sz w:val="13"/>
                <w:szCs w:val="13"/>
                <w:b w:val="1"/>
                <w:bCs w:val="1"/>
                <w:color w:val="auto"/>
              </w:rPr>
              <w:t>Exhibit</w:t>
            </w:r>
          </w:p>
        </w:tc>
        <w:tc>
          <w:tcPr>
            <w:tcW w:w="1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160" w:type="dxa"/>
            <w:vAlign w:val="bottom"/>
          </w:tcPr>
          <w:p>
            <w:pPr>
              <w:ind w:left="260"/>
              <w:spacing w:after="0"/>
              <w:rPr>
                <w:sz w:val="20"/>
                <w:szCs w:val="20"/>
                <w:color w:val="auto"/>
              </w:rPr>
            </w:pPr>
            <w:r>
              <w:rPr>
                <w:rFonts w:ascii="Arial" w:cs="Arial" w:eastAsia="Arial" w:hAnsi="Arial"/>
                <w:sz w:val="13"/>
                <w:szCs w:val="13"/>
                <w:b w:val="1"/>
                <w:bCs w:val="1"/>
                <w:color w:val="auto"/>
              </w:rPr>
              <w:t>Number</w:t>
            </w:r>
          </w:p>
        </w:tc>
        <w:tc>
          <w:tcPr>
            <w:tcW w:w="17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260" w:type="dxa"/>
            <w:vAlign w:val="bottom"/>
            <w:gridSpan w:val="7"/>
          </w:tcPr>
          <w:p>
            <w:pPr>
              <w:ind w:left="1480"/>
              <w:spacing w:after="0"/>
              <w:rPr>
                <w:sz w:val="20"/>
                <w:szCs w:val="20"/>
                <w:color w:val="auto"/>
              </w:rPr>
            </w:pPr>
            <w:r>
              <w:rPr>
                <w:rFonts w:ascii="Arial" w:cs="Arial" w:eastAsia="Arial" w:hAnsi="Arial"/>
                <w:sz w:val="13"/>
                <w:szCs w:val="13"/>
                <w:b w:val="1"/>
                <w:bCs w:val="1"/>
                <w:color w:val="auto"/>
              </w:rPr>
              <w:t>Exhibit Description</w:t>
            </w:r>
          </w:p>
        </w:tc>
        <w:tc>
          <w:tcPr>
            <w:tcW w:w="0" w:type="dxa"/>
            <w:vAlign w:val="bottom"/>
          </w:tcPr>
          <w:p>
            <w:pPr>
              <w:spacing w:after="0"/>
              <w:rPr>
                <w:sz w:val="1"/>
                <w:szCs w:val="1"/>
                <w:color w:val="auto"/>
              </w:rPr>
            </w:pPr>
          </w:p>
        </w:tc>
      </w:tr>
      <w:tr>
        <w:trPr>
          <w:trHeight w:val="217"/>
        </w:trPr>
        <w:tc>
          <w:tcPr>
            <w:tcW w:w="1160" w:type="dxa"/>
            <w:vAlign w:val="bottom"/>
          </w:tcPr>
          <w:p>
            <w:pPr>
              <w:spacing w:after="0"/>
              <w:rPr>
                <w:sz w:val="20"/>
                <w:szCs w:val="20"/>
                <w:color w:val="auto"/>
              </w:rPr>
            </w:pPr>
            <w:r>
              <w:rPr>
                <w:rFonts w:ascii="Arial" w:cs="Arial" w:eastAsia="Arial" w:hAnsi="Arial"/>
                <w:sz w:val="13"/>
                <w:szCs w:val="13"/>
                <w:color w:val="auto"/>
              </w:rPr>
              <w:t>5.1</w:t>
            </w:r>
          </w:p>
        </w:tc>
        <w:tc>
          <w:tcPr>
            <w:tcW w:w="9300" w:type="dxa"/>
            <w:vAlign w:val="bottom"/>
            <w:gridSpan w:val="9"/>
          </w:tcPr>
          <w:p>
            <w:pPr>
              <w:spacing w:after="0"/>
              <w:rPr>
                <w:sz w:val="20"/>
                <w:szCs w:val="20"/>
                <w:color w:val="auto"/>
              </w:rPr>
            </w:pPr>
            <w:r>
              <w:rPr>
                <w:rFonts w:ascii="Arial" w:cs="Arial" w:eastAsia="Arial" w:hAnsi="Arial"/>
                <w:sz w:val="13"/>
                <w:szCs w:val="13"/>
                <w:color w:val="0000FF"/>
              </w:rPr>
              <w:t>Opinion of Fenwick &amp; West LLP</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60" w:type="dxa"/>
            <w:vAlign w:val="bottom"/>
          </w:tcPr>
          <w:p>
            <w:pPr>
              <w:spacing w:after="0"/>
              <w:rPr>
                <w:sz w:val="20"/>
                <w:szCs w:val="20"/>
                <w:color w:val="auto"/>
              </w:rPr>
            </w:pPr>
            <w:r>
              <w:rPr>
                <w:rFonts w:ascii="Arial" w:cs="Arial" w:eastAsia="Arial" w:hAnsi="Arial"/>
                <w:sz w:val="13"/>
                <w:szCs w:val="13"/>
                <w:color w:val="auto"/>
              </w:rPr>
              <w:t>10.23‡++</w:t>
            </w:r>
          </w:p>
        </w:tc>
        <w:tc>
          <w:tcPr>
            <w:tcW w:w="9300" w:type="dxa"/>
            <w:vAlign w:val="bottom"/>
            <w:gridSpan w:val="9"/>
          </w:tcPr>
          <w:p>
            <w:pPr>
              <w:spacing w:after="0"/>
              <w:rPr>
                <w:sz w:val="20"/>
                <w:szCs w:val="20"/>
                <w:color w:val="auto"/>
              </w:rPr>
            </w:pPr>
            <w:r>
              <w:rPr>
                <w:rFonts w:ascii="Arial" w:cs="Arial" w:eastAsia="Arial" w:hAnsi="Arial"/>
                <w:sz w:val="13"/>
                <w:szCs w:val="13"/>
                <w:color w:val="0000FF"/>
              </w:rPr>
              <w:t>Purchase and Sale Agreement, dated September 9, 2022, by and between the Registrant and DRI Healthcare Acquisitions LP.</w:t>
            </w:r>
          </w:p>
        </w:tc>
        <w:tc>
          <w:tcPr>
            <w:tcW w:w="0" w:type="dxa"/>
            <w:vAlign w:val="bottom"/>
          </w:tcPr>
          <w:p>
            <w:pPr>
              <w:spacing w:after="0"/>
              <w:rPr>
                <w:sz w:val="1"/>
                <w:szCs w:val="1"/>
                <w:color w:val="auto"/>
              </w:rPr>
            </w:pPr>
          </w:p>
        </w:tc>
      </w:tr>
      <w:tr>
        <w:trPr>
          <w:trHeight w:val="150"/>
        </w:trPr>
        <w:tc>
          <w:tcPr>
            <w:tcW w:w="1160" w:type="dxa"/>
            <w:vAlign w:val="bottom"/>
          </w:tcPr>
          <w:p>
            <w:pPr>
              <w:spacing w:after="0"/>
              <w:rPr>
                <w:sz w:val="20"/>
                <w:szCs w:val="20"/>
                <w:color w:val="auto"/>
              </w:rPr>
            </w:pPr>
            <w:r>
              <w:rPr>
                <w:rFonts w:ascii="Arial" w:cs="Arial" w:eastAsia="Arial" w:hAnsi="Arial"/>
                <w:sz w:val="13"/>
                <w:szCs w:val="13"/>
                <w:color w:val="auto"/>
              </w:rPr>
              <w:t>10.24</w:t>
            </w:r>
          </w:p>
        </w:tc>
        <w:tc>
          <w:tcPr>
            <w:tcW w:w="514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3"/>
                <w:szCs w:val="13"/>
                <w:color w:val="0000FF"/>
                <w:w w:val="87"/>
              </w:rPr>
              <w:t>Sales Agreement, dated November 8, by and between the Registrant and Cowen and Company LLC.</w:t>
            </w:r>
          </w:p>
        </w:tc>
        <w:tc>
          <w:tcPr>
            <w:tcW w:w="1240" w:type="dxa"/>
            <w:vAlign w:val="bottom"/>
            <w:tcBorders>
              <w:top w:val="single" w:sz="8" w:color="0000FF"/>
            </w:tcBorders>
          </w:tcPr>
          <w:p>
            <w:pPr>
              <w:spacing w:after="0"/>
              <w:rPr>
                <w:sz w:val="13"/>
                <w:szCs w:val="13"/>
                <w:color w:val="auto"/>
              </w:rPr>
            </w:pPr>
          </w:p>
        </w:tc>
        <w:tc>
          <w:tcPr>
            <w:tcW w:w="29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160" w:type="dxa"/>
            <w:vAlign w:val="bottom"/>
          </w:tcPr>
          <w:p>
            <w:pPr>
              <w:spacing w:after="0"/>
              <w:rPr>
                <w:sz w:val="20"/>
                <w:szCs w:val="20"/>
                <w:color w:val="auto"/>
              </w:rPr>
            </w:pPr>
            <w:r>
              <w:rPr>
                <w:rFonts w:ascii="Arial" w:cs="Arial" w:eastAsia="Arial" w:hAnsi="Arial"/>
                <w:sz w:val="13"/>
                <w:szCs w:val="13"/>
                <w:color w:val="auto"/>
              </w:rPr>
              <w:t>23.1</w:t>
            </w:r>
          </w:p>
        </w:tc>
        <w:tc>
          <w:tcPr>
            <w:tcW w:w="9300" w:type="dxa"/>
            <w:vAlign w:val="bottom"/>
            <w:gridSpan w:val="9"/>
          </w:tcPr>
          <w:p>
            <w:pPr>
              <w:spacing w:after="0"/>
              <w:rPr>
                <w:sz w:val="20"/>
                <w:szCs w:val="20"/>
                <w:color w:val="auto"/>
              </w:rPr>
            </w:pPr>
            <w:r>
              <w:rPr>
                <w:rFonts w:ascii="Arial" w:cs="Arial" w:eastAsia="Arial" w:hAnsi="Arial"/>
                <w:sz w:val="13"/>
                <w:szCs w:val="13"/>
                <w:color w:val="0000FF"/>
              </w:rPr>
              <w:t>Consent of Fenwick &amp; West LLP (contained in Exhibit 5.1)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040" w:type="dxa"/>
            <w:vAlign w:val="bottom"/>
            <w:gridSpan w:val="2"/>
            <w:shd w:val="clear" w:color="auto" w:fill="0000FF"/>
          </w:tcPr>
          <w:p>
            <w:pPr>
              <w:spacing w:after="0" w:line="20" w:lineRule="exact"/>
              <w:rPr>
                <w:sz w:val="1"/>
                <w:szCs w:val="1"/>
                <w:color w:val="auto"/>
              </w:rPr>
            </w:pPr>
          </w:p>
        </w:tc>
        <w:tc>
          <w:tcPr>
            <w:tcW w:w="4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60" w:type="dxa"/>
            <w:vAlign w:val="bottom"/>
            <w:vMerge w:val="restart"/>
          </w:tcPr>
          <w:p>
            <w:pPr>
              <w:spacing w:after="0"/>
              <w:rPr>
                <w:sz w:val="20"/>
                <w:szCs w:val="20"/>
                <w:color w:val="auto"/>
              </w:rPr>
            </w:pPr>
            <w:r>
              <w:rPr>
                <w:rFonts w:ascii="Arial" w:cs="Arial" w:eastAsia="Arial" w:hAnsi="Arial"/>
                <w:sz w:val="13"/>
                <w:szCs w:val="13"/>
                <w:color w:val="auto"/>
              </w:rPr>
              <w:t>31.1</w:t>
            </w:r>
          </w:p>
        </w:tc>
        <w:tc>
          <w:tcPr>
            <w:tcW w:w="7860" w:type="dxa"/>
            <w:vAlign w:val="bottom"/>
            <w:tcBorders>
              <w:bottom w:val="single" w:sz="8" w:color="0000FF"/>
            </w:tcBorders>
            <w:gridSpan w:val="8"/>
          </w:tcPr>
          <w:p>
            <w:pPr>
              <w:spacing w:after="0" w:line="139" w:lineRule="exact"/>
              <w:rPr>
                <w:sz w:val="20"/>
                <w:szCs w:val="20"/>
                <w:color w:val="auto"/>
              </w:rPr>
            </w:pPr>
            <w:r>
              <w:rPr>
                <w:rFonts w:ascii="Arial" w:cs="Arial" w:eastAsia="Arial" w:hAnsi="Arial"/>
                <w:sz w:val="13"/>
                <w:szCs w:val="13"/>
                <w:color w:val="0000FF"/>
                <w:w w:val="89"/>
              </w:rPr>
              <w:t>Certification of Principal Executive Officer, pursuant to Rule 13a-14(a)/15d-14(a), as adopted pursuant to Section 302 of the Sarbanes-Oxley Act of 2002.</w:t>
            </w:r>
          </w:p>
        </w:tc>
        <w:tc>
          <w:tcPr>
            <w:tcW w:w="14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1160" w:type="dxa"/>
            <w:vAlign w:val="bottom"/>
            <w:vMerge w:val="continue"/>
          </w:tcPr>
          <w:p>
            <w:pPr>
              <w:spacing w:after="0"/>
              <w:rPr>
                <w:sz w:val="3"/>
                <w:szCs w:val="3"/>
                <w:color w:val="auto"/>
              </w:rPr>
            </w:pPr>
          </w:p>
        </w:tc>
        <w:tc>
          <w:tcPr>
            <w:tcW w:w="7820" w:type="dxa"/>
            <w:vAlign w:val="bottom"/>
            <w:gridSpan w:val="7"/>
            <w:vMerge w:val="restart"/>
          </w:tcPr>
          <w:p>
            <w:pPr>
              <w:spacing w:after="0"/>
              <w:rPr>
                <w:sz w:val="20"/>
                <w:szCs w:val="20"/>
                <w:color w:val="auto"/>
              </w:rPr>
            </w:pPr>
            <w:r>
              <w:rPr>
                <w:rFonts w:ascii="Arial" w:cs="Arial" w:eastAsia="Arial" w:hAnsi="Arial"/>
                <w:sz w:val="13"/>
                <w:szCs w:val="13"/>
                <w:color w:val="0000FF"/>
                <w:w w:val="89"/>
              </w:rPr>
              <w:t>Certification of Principal Financial Officer, pursuant to Rule 13a-14(a)/15d-14(a), as adopted pursuant to Section 302 of the Sarbanes-Oxley Act of 2002.</w:t>
            </w:r>
          </w:p>
        </w:tc>
        <w:tc>
          <w:tcPr>
            <w:tcW w:w="40" w:type="dxa"/>
            <w:vAlign w:val="bottom"/>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1160" w:type="dxa"/>
            <w:vAlign w:val="bottom"/>
            <w:vMerge w:val="restart"/>
          </w:tcPr>
          <w:p>
            <w:pPr>
              <w:spacing w:after="0"/>
              <w:rPr>
                <w:sz w:val="20"/>
                <w:szCs w:val="20"/>
                <w:color w:val="auto"/>
              </w:rPr>
            </w:pPr>
            <w:r>
              <w:rPr>
                <w:rFonts w:ascii="Arial" w:cs="Arial" w:eastAsia="Arial" w:hAnsi="Arial"/>
                <w:sz w:val="13"/>
                <w:szCs w:val="13"/>
                <w:color w:val="auto"/>
              </w:rPr>
              <w:t>31.2</w:t>
            </w:r>
          </w:p>
        </w:tc>
        <w:tc>
          <w:tcPr>
            <w:tcW w:w="7820" w:type="dxa"/>
            <w:vAlign w:val="bottom"/>
            <w:tcBorders>
              <w:bottom w:val="single" w:sz="8" w:color="0000FF"/>
            </w:tcBorders>
            <w:gridSpan w:val="7"/>
            <w:vMerge w:val="continue"/>
          </w:tcPr>
          <w:p>
            <w:pPr>
              <w:spacing w:after="0"/>
              <w:rPr>
                <w:sz w:val="16"/>
                <w:szCs w:val="16"/>
                <w:color w:val="auto"/>
              </w:rPr>
            </w:pPr>
          </w:p>
        </w:tc>
        <w:tc>
          <w:tcPr>
            <w:tcW w:w="1480" w:type="dxa"/>
            <w:vAlign w:val="bottom"/>
            <w:gridSpan w:val="2"/>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160" w:type="dxa"/>
            <w:vAlign w:val="bottom"/>
            <w:vMerge w:val="continue"/>
          </w:tcPr>
          <w:p>
            <w:pPr>
              <w:spacing w:after="0"/>
              <w:rPr>
                <w:sz w:val="3"/>
                <w:szCs w:val="3"/>
                <w:color w:val="auto"/>
              </w:rPr>
            </w:pPr>
          </w:p>
        </w:tc>
        <w:tc>
          <w:tcPr>
            <w:tcW w:w="7560" w:type="dxa"/>
            <w:vAlign w:val="bottom"/>
            <w:gridSpan w:val="5"/>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160" w:type="dxa"/>
            <w:vAlign w:val="bottom"/>
          </w:tcPr>
          <w:p>
            <w:pPr>
              <w:spacing w:after="0"/>
              <w:rPr>
                <w:sz w:val="20"/>
                <w:szCs w:val="20"/>
                <w:color w:val="auto"/>
              </w:rPr>
            </w:pPr>
            <w:r>
              <w:rPr>
                <w:rFonts w:ascii="Arial" w:cs="Arial" w:eastAsia="Arial" w:hAnsi="Arial"/>
                <w:sz w:val="13"/>
                <w:szCs w:val="13"/>
                <w:color w:val="auto"/>
              </w:rPr>
              <w:t>32.1**</w:t>
            </w:r>
          </w:p>
        </w:tc>
        <w:tc>
          <w:tcPr>
            <w:tcW w:w="9300" w:type="dxa"/>
            <w:vAlign w:val="bottom"/>
            <w:gridSpan w:val="9"/>
          </w:tcPr>
          <w:p>
            <w:pPr>
              <w:spacing w:after="0"/>
              <w:rPr>
                <w:sz w:val="20"/>
                <w:szCs w:val="20"/>
                <w:color w:val="auto"/>
              </w:rPr>
            </w:pPr>
            <w:r>
              <w:rPr>
                <w:rFonts w:ascii="Arial" w:cs="Arial" w:eastAsia="Arial" w:hAnsi="Arial"/>
                <w:sz w:val="13"/>
                <w:szCs w:val="13"/>
                <w:color w:val="0000FF"/>
              </w:rPr>
              <w:t>Certification of Chief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24"/>
        </w:trPr>
        <w:tc>
          <w:tcPr>
            <w:tcW w:w="1160" w:type="dxa"/>
            <w:vAlign w:val="bottom"/>
          </w:tcPr>
          <w:p>
            <w:pPr>
              <w:spacing w:after="0"/>
              <w:rPr>
                <w:sz w:val="20"/>
                <w:szCs w:val="20"/>
                <w:color w:val="auto"/>
              </w:rPr>
            </w:pPr>
            <w:r>
              <w:rPr>
                <w:rFonts w:ascii="Arial" w:cs="Arial" w:eastAsia="Arial" w:hAnsi="Arial"/>
                <w:sz w:val="13"/>
                <w:szCs w:val="13"/>
                <w:color w:val="auto"/>
              </w:rPr>
              <w:t>32.2**</w:t>
            </w:r>
          </w:p>
        </w:tc>
        <w:tc>
          <w:tcPr>
            <w:tcW w:w="756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3"/>
                <w:szCs w:val="13"/>
                <w:color w:val="0000FF"/>
                <w:w w:val="89"/>
              </w:rPr>
              <w:t>Certification of Chief Financial Officer, pursuant to 18 U.S.C. Section 1350, as adopted pursuant to Section 906 of the Sarbanes-Oxley Act of 2002.</w:t>
            </w:r>
          </w:p>
        </w:tc>
        <w:tc>
          <w:tcPr>
            <w:tcW w:w="20" w:type="dxa"/>
            <w:vAlign w:val="bottom"/>
            <w:tcBorders>
              <w:top w:val="single" w:sz="8" w:color="0000FF"/>
            </w:tcBorders>
          </w:tcPr>
          <w:p>
            <w:pPr>
              <w:spacing w:after="0"/>
              <w:rPr>
                <w:sz w:val="19"/>
                <w:szCs w:val="19"/>
                <w:color w:val="auto"/>
              </w:rPr>
            </w:pPr>
          </w:p>
        </w:tc>
        <w:tc>
          <w:tcPr>
            <w:tcW w:w="172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1160" w:type="dxa"/>
            <w:vAlign w:val="bottom"/>
          </w:tcPr>
          <w:p>
            <w:pPr>
              <w:spacing w:after="0"/>
              <w:rPr>
                <w:sz w:val="20"/>
                <w:szCs w:val="20"/>
                <w:color w:val="auto"/>
              </w:rPr>
            </w:pPr>
            <w:r>
              <w:rPr>
                <w:rFonts w:ascii="Arial" w:cs="Arial" w:eastAsia="Arial" w:hAnsi="Arial"/>
                <w:sz w:val="13"/>
                <w:szCs w:val="13"/>
                <w:color w:val="auto"/>
              </w:rPr>
              <w:t>101.INS</w:t>
            </w:r>
          </w:p>
        </w:tc>
        <w:tc>
          <w:tcPr>
            <w:tcW w:w="9300" w:type="dxa"/>
            <w:vAlign w:val="bottom"/>
            <w:gridSpan w:val="9"/>
            <w:vMerge w:val="restart"/>
          </w:tcPr>
          <w:p>
            <w:pPr>
              <w:spacing w:after="0"/>
              <w:rPr>
                <w:sz w:val="20"/>
                <w:szCs w:val="20"/>
                <w:color w:val="auto"/>
              </w:rPr>
            </w:pPr>
            <w:r>
              <w:rPr>
                <w:rFonts w:ascii="Arial" w:cs="Arial" w:eastAsia="Arial" w:hAnsi="Arial"/>
                <w:sz w:val="13"/>
                <w:szCs w:val="13"/>
                <w:color w:val="auto"/>
                <w:w w:val="89"/>
              </w:rPr>
              <w:t>Inline XBRL Report Instance Document - The Instance document does not appear in the Interactive Data File because its XBRL tags are embedded within the Inline XBRL document</w:t>
            </w:r>
          </w:p>
        </w:tc>
        <w:tc>
          <w:tcPr>
            <w:tcW w:w="0" w:type="dxa"/>
            <w:vAlign w:val="bottom"/>
          </w:tcPr>
          <w:p>
            <w:pPr>
              <w:spacing w:after="0"/>
              <w:rPr>
                <w:sz w:val="1"/>
                <w:szCs w:val="1"/>
                <w:color w:val="auto"/>
              </w:rPr>
            </w:pPr>
          </w:p>
        </w:tc>
      </w:tr>
      <w:tr>
        <w:trPr>
          <w:trHeight w:val="74"/>
        </w:trPr>
        <w:tc>
          <w:tcPr>
            <w:tcW w:w="1160" w:type="dxa"/>
            <w:vAlign w:val="bottom"/>
          </w:tcPr>
          <w:p>
            <w:pPr>
              <w:spacing w:after="0"/>
              <w:rPr>
                <w:sz w:val="6"/>
                <w:szCs w:val="6"/>
                <w:color w:val="auto"/>
              </w:rPr>
            </w:pPr>
          </w:p>
        </w:tc>
        <w:tc>
          <w:tcPr>
            <w:tcW w:w="930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1160" w:type="dxa"/>
            <w:vAlign w:val="bottom"/>
          </w:tcPr>
          <w:p>
            <w:pPr>
              <w:spacing w:after="0"/>
              <w:rPr>
                <w:sz w:val="20"/>
                <w:szCs w:val="20"/>
                <w:color w:val="auto"/>
              </w:rPr>
            </w:pPr>
            <w:r>
              <w:rPr>
                <w:rFonts w:ascii="Arial" w:cs="Arial" w:eastAsia="Arial" w:hAnsi="Arial"/>
                <w:sz w:val="13"/>
                <w:szCs w:val="13"/>
                <w:color w:val="auto"/>
              </w:rPr>
              <w:t>101.SCH</w:t>
            </w:r>
          </w:p>
        </w:tc>
        <w:tc>
          <w:tcPr>
            <w:tcW w:w="9300" w:type="dxa"/>
            <w:vAlign w:val="bottom"/>
            <w:gridSpan w:val="9"/>
          </w:tcPr>
          <w:p>
            <w:pPr>
              <w:spacing w:after="0"/>
              <w:rPr>
                <w:sz w:val="20"/>
                <w:szCs w:val="20"/>
                <w:color w:val="auto"/>
              </w:rPr>
            </w:pPr>
            <w:r>
              <w:rPr>
                <w:rFonts w:ascii="Arial" w:cs="Arial" w:eastAsia="Arial" w:hAnsi="Arial"/>
                <w:sz w:val="13"/>
                <w:szCs w:val="13"/>
                <w:color w:val="auto"/>
              </w:rPr>
              <w:t>Inline XBRL Taxonomy Extension Schema Document</w:t>
            </w: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0"/>
                <w:szCs w:val="20"/>
                <w:color w:val="auto"/>
              </w:rPr>
            </w:pPr>
            <w:r>
              <w:rPr>
                <w:rFonts w:ascii="Arial" w:cs="Arial" w:eastAsia="Arial" w:hAnsi="Arial"/>
                <w:sz w:val="13"/>
                <w:szCs w:val="13"/>
                <w:color w:val="auto"/>
              </w:rPr>
              <w:t>101.CAL</w:t>
            </w:r>
          </w:p>
        </w:tc>
        <w:tc>
          <w:tcPr>
            <w:tcW w:w="9300" w:type="dxa"/>
            <w:vAlign w:val="bottom"/>
            <w:gridSpan w:val="9"/>
          </w:tcPr>
          <w:p>
            <w:pPr>
              <w:spacing w:after="0"/>
              <w:rPr>
                <w:sz w:val="20"/>
                <w:szCs w:val="20"/>
                <w:color w:val="auto"/>
              </w:rPr>
            </w:pPr>
            <w:r>
              <w:rPr>
                <w:rFonts w:ascii="Arial" w:cs="Arial" w:eastAsia="Arial" w:hAnsi="Arial"/>
                <w:sz w:val="13"/>
                <w:szCs w:val="13"/>
                <w:color w:val="auto"/>
              </w:rPr>
              <w:t>Inline XBRL Taxonomy Calculation Linkbase Document</w:t>
            </w: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0"/>
                <w:szCs w:val="20"/>
                <w:color w:val="auto"/>
              </w:rPr>
            </w:pPr>
            <w:r>
              <w:rPr>
                <w:rFonts w:ascii="Arial" w:cs="Arial" w:eastAsia="Arial" w:hAnsi="Arial"/>
                <w:sz w:val="13"/>
                <w:szCs w:val="13"/>
                <w:color w:val="auto"/>
              </w:rPr>
              <w:t>101.LAB</w:t>
            </w:r>
          </w:p>
        </w:tc>
        <w:tc>
          <w:tcPr>
            <w:tcW w:w="9300" w:type="dxa"/>
            <w:vAlign w:val="bottom"/>
            <w:gridSpan w:val="9"/>
          </w:tcPr>
          <w:p>
            <w:pPr>
              <w:spacing w:after="0"/>
              <w:rPr>
                <w:sz w:val="20"/>
                <w:szCs w:val="20"/>
                <w:color w:val="auto"/>
              </w:rPr>
            </w:pPr>
            <w:r>
              <w:rPr>
                <w:rFonts w:ascii="Arial" w:cs="Arial" w:eastAsia="Arial" w:hAnsi="Arial"/>
                <w:sz w:val="13"/>
                <w:szCs w:val="13"/>
                <w:color w:val="auto"/>
              </w:rPr>
              <w:t>Inline XBRL Taxonomy Label Linkbase Document</w:t>
            </w: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0"/>
                <w:szCs w:val="20"/>
                <w:color w:val="auto"/>
              </w:rPr>
            </w:pPr>
            <w:r>
              <w:rPr>
                <w:rFonts w:ascii="Arial" w:cs="Arial" w:eastAsia="Arial" w:hAnsi="Arial"/>
                <w:sz w:val="13"/>
                <w:szCs w:val="13"/>
                <w:color w:val="auto"/>
              </w:rPr>
              <w:t>101.PRE</w:t>
            </w:r>
          </w:p>
        </w:tc>
        <w:tc>
          <w:tcPr>
            <w:tcW w:w="9300" w:type="dxa"/>
            <w:vAlign w:val="bottom"/>
            <w:gridSpan w:val="9"/>
          </w:tcPr>
          <w:p>
            <w:pPr>
              <w:spacing w:after="0"/>
              <w:rPr>
                <w:sz w:val="20"/>
                <w:szCs w:val="20"/>
                <w:color w:val="auto"/>
              </w:rPr>
            </w:pPr>
            <w:r>
              <w:rPr>
                <w:rFonts w:ascii="Arial" w:cs="Arial" w:eastAsia="Arial" w:hAnsi="Arial"/>
                <w:sz w:val="13"/>
                <w:szCs w:val="13"/>
                <w:color w:val="auto"/>
              </w:rPr>
              <w:t>Inline XBRL Presentation Linkbase Document</w:t>
            </w: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0"/>
                <w:szCs w:val="20"/>
                <w:color w:val="auto"/>
              </w:rPr>
            </w:pPr>
            <w:r>
              <w:rPr>
                <w:rFonts w:ascii="Arial" w:cs="Arial" w:eastAsia="Arial" w:hAnsi="Arial"/>
                <w:sz w:val="13"/>
                <w:szCs w:val="13"/>
                <w:color w:val="auto"/>
              </w:rPr>
              <w:t>101.DEF</w:t>
            </w:r>
          </w:p>
        </w:tc>
        <w:tc>
          <w:tcPr>
            <w:tcW w:w="9300" w:type="dxa"/>
            <w:vAlign w:val="bottom"/>
            <w:gridSpan w:val="9"/>
          </w:tcPr>
          <w:p>
            <w:pPr>
              <w:spacing w:after="0"/>
              <w:rPr>
                <w:sz w:val="20"/>
                <w:szCs w:val="20"/>
                <w:color w:val="auto"/>
              </w:rPr>
            </w:pPr>
            <w:r>
              <w:rPr>
                <w:rFonts w:ascii="Arial" w:cs="Arial" w:eastAsia="Arial" w:hAnsi="Arial"/>
                <w:sz w:val="13"/>
                <w:szCs w:val="13"/>
                <w:color w:val="auto"/>
              </w:rPr>
              <w:t>Inline XBRL Taxonomy Extension Definition Linkbase Document</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1175" w:hanging="1161"/>
        <w:spacing w:after="0"/>
        <w:tabs>
          <w:tab w:leader="none" w:pos="1175" w:val="left"/>
        </w:tabs>
        <w:numPr>
          <w:ilvl w:val="1"/>
          <w:numId w:val="36"/>
        </w:numPr>
        <w:rPr>
          <w:rFonts w:ascii="Arial" w:cs="Arial" w:eastAsia="Arial" w:hAnsi="Arial"/>
          <w:sz w:val="13"/>
          <w:szCs w:val="13"/>
          <w:color w:val="auto"/>
        </w:rPr>
      </w:pPr>
      <w:r>
        <w:rPr>
          <w:rFonts w:ascii="Arial" w:cs="Arial" w:eastAsia="Arial" w:hAnsi="Arial"/>
          <w:sz w:val="13"/>
          <w:szCs w:val="13"/>
          <w:color w:val="auto"/>
        </w:rPr>
        <w:t>Cover Page Interactive Data File - (formatted in Inline XBRL and contained in Exhibit 101)</w:t>
      </w:r>
    </w:p>
    <w:p>
      <w:pPr>
        <w:spacing w:after="0" w:line="200" w:lineRule="exact"/>
        <w:rPr>
          <w:rFonts w:ascii="Arial" w:cs="Arial" w:eastAsia="Arial" w:hAnsi="Arial"/>
          <w:sz w:val="13"/>
          <w:szCs w:val="13"/>
          <w:color w:val="auto"/>
        </w:rPr>
      </w:pPr>
    </w:p>
    <w:p>
      <w:pPr>
        <w:spacing w:after="0" w:line="255" w:lineRule="exact"/>
        <w:rPr>
          <w:rFonts w:ascii="Arial" w:cs="Arial" w:eastAsia="Arial" w:hAnsi="Arial"/>
          <w:sz w:val="13"/>
          <w:szCs w:val="13"/>
          <w:color w:val="auto"/>
        </w:rPr>
      </w:pPr>
    </w:p>
    <w:p>
      <w:pPr>
        <w:ind w:left="-5" w:right="480" w:firstLine="5"/>
        <w:spacing w:after="0" w:line="274" w:lineRule="auto"/>
        <w:tabs>
          <w:tab w:leader="none" w:pos="154"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9" w:lineRule="exact"/>
        <w:rPr>
          <w:sz w:val="20"/>
          <w:szCs w:val="20"/>
          <w:color w:val="auto"/>
        </w:rPr>
      </w:pPr>
    </w:p>
    <w:p>
      <w:pPr>
        <w:ind w:left="-5" w:firstLine="5"/>
        <w:spacing w:after="0" w:line="257" w:lineRule="auto"/>
        <w:tabs>
          <w:tab w:leader="none" w:pos="171" w:val="left"/>
        </w:tabs>
        <w:numPr>
          <w:ilvl w:val="0"/>
          <w:numId w:val="37"/>
        </w:numPr>
        <w:rPr>
          <w:rFonts w:ascii="Arial" w:cs="Arial" w:eastAsia="Arial" w:hAnsi="Arial"/>
          <w:sz w:val="13"/>
          <w:szCs w:val="13"/>
          <w:color w:val="auto"/>
        </w:rPr>
      </w:pPr>
      <w:r>
        <w:rPr>
          <w:rFonts w:ascii="Arial" w:cs="Arial" w:eastAsia="Arial" w:hAnsi="Arial"/>
          <w:sz w:val="13"/>
          <w:szCs w:val="13"/>
          <w:color w:val="auto"/>
        </w:rPr>
        <w:t>Certain portions of this exhibit have been omitted by means of marking such portions with asterisks because the Registrant has determined that the information is not material and is the type that the Registrant treats as private or confidential.</w:t>
      </w:r>
    </w:p>
    <w:p>
      <w:pPr>
        <w:spacing w:after="0" w:line="30" w:lineRule="exact"/>
        <w:rPr>
          <w:sz w:val="20"/>
          <w:szCs w:val="20"/>
          <w:color w:val="auto"/>
        </w:rPr>
      </w:pPr>
    </w:p>
    <w:p>
      <w:pPr>
        <w:ind w:left="95" w:hanging="95"/>
        <w:spacing w:after="0"/>
        <w:tabs>
          <w:tab w:leader="none" w:pos="95" w:val="left"/>
        </w:tabs>
        <w:numPr>
          <w:ilvl w:val="0"/>
          <w:numId w:val="38"/>
        </w:numPr>
        <w:rPr>
          <w:rFonts w:ascii="Arial" w:cs="Arial" w:eastAsia="Arial" w:hAnsi="Arial"/>
          <w:sz w:val="13"/>
          <w:szCs w:val="13"/>
          <w:color w:val="auto"/>
        </w:rPr>
      </w:pPr>
      <w:r>
        <w:rPr>
          <w:rFonts w:ascii="Arial" w:cs="Arial" w:eastAsia="Arial" w:hAnsi="Arial"/>
          <w:sz w:val="13"/>
          <w:szCs w:val="13"/>
          <w:color w:val="auto"/>
        </w:rPr>
        <w:t>Exhibits and schedules to this agreement have been omitted pursuant to the rules of the SEC. The Registrant will submit copies of such exhibits and schedules to the SEC upon request.</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34" w:lineRule="exact"/>
        <w:rPr>
          <w:rFonts w:ascii="Arial" w:cs="Arial" w:eastAsia="Arial" w:hAnsi="Arial"/>
          <w:sz w:val="13"/>
          <w:szCs w:val="13"/>
          <w:color w:val="auto"/>
        </w:rPr>
      </w:pPr>
    </w:p>
    <w:p>
      <w:pPr>
        <w:ind w:left="5575"/>
        <w:spacing w:after="0"/>
        <w:rPr>
          <w:rFonts w:ascii="Arial" w:cs="Arial" w:eastAsia="Arial" w:hAnsi="Arial"/>
          <w:sz w:val="13"/>
          <w:szCs w:val="13"/>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35"/>
          </w:cols>
          <w:pgMar w:left="305" w:top="1338" w:right="359" w:bottom="1440" w:gutter="0" w:footer="0" w:header="0"/>
        </w:sectPr>
      </w:pPr>
    </w:p>
    <w:bookmarkStart w:id="74" w:name="page75"/>
    <w:bookmarkEnd w:id="74"/>
    <w:p>
      <w:pPr>
        <w:ind w:left="5180"/>
        <w:spacing w:after="0"/>
        <w:rPr>
          <w:sz w:val="20"/>
          <w:szCs w:val="20"/>
          <w:color w:val="auto"/>
        </w:rPr>
      </w:pPr>
      <w:r>
        <w:rPr>
          <w:rFonts w:ascii="Arial" w:cs="Arial" w:eastAsia="Arial" w:hAnsi="Arial"/>
          <w:sz w:val="14"/>
          <w:szCs w:val="14"/>
          <w:b w:val="1"/>
          <w:bCs w:val="1"/>
          <w:color w:val="auto"/>
        </w:rPr>
        <w:t>SIGNATURES</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339"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AnaptysBio, Inc.</w:t>
      </w:r>
    </w:p>
    <w:p>
      <w:pPr>
        <w:spacing w:after="0" w:line="189" w:lineRule="exact"/>
        <w:rPr>
          <w:sz w:val="20"/>
          <w:szCs w:val="20"/>
          <w:color w:val="auto"/>
        </w:rPr>
      </w:pPr>
    </w:p>
    <w:p>
      <w:pPr>
        <w:ind w:left="20"/>
        <w:spacing w:after="0"/>
        <w:tabs>
          <w:tab w:leader="none" w:pos="640" w:val="left"/>
          <w:tab w:leader="none" w:pos="4820" w:val="left"/>
          <w:tab w:leader="none" w:pos="528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November 8, 2022</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26035</wp:posOffset>
            </wp:positionV>
            <wp:extent cx="380682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06825" cy="6985"/>
                    </a:xfrm>
                    <a:prstGeom prst="rect">
                      <a:avLst/>
                    </a:prstGeom>
                    <a:noFill/>
                  </pic:spPr>
                </pic:pic>
              </a:graphicData>
            </a:graphic>
          </wp:anchor>
        </w:drawing>
      </w:r>
    </w:p>
    <w:p>
      <w:pPr>
        <w:spacing w:after="0" w:line="31"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Daniel Faga</w:t>
      </w:r>
    </w:p>
    <w:p>
      <w:pPr>
        <w:spacing w:after="0" w:line="19"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Interim President and Chief Executive Officer</w:t>
      </w:r>
    </w:p>
    <w:p>
      <w:pPr>
        <w:spacing w:after="0" w:line="19"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(Principal Executive Officer)</w:t>
      </w:r>
    </w:p>
    <w:p>
      <w:pPr>
        <w:spacing w:after="0" w:line="189" w:lineRule="exact"/>
        <w:rPr>
          <w:sz w:val="20"/>
          <w:szCs w:val="20"/>
          <w:color w:val="auto"/>
        </w:rPr>
      </w:pPr>
    </w:p>
    <w:p>
      <w:pPr>
        <w:ind w:left="20"/>
        <w:spacing w:after="0"/>
        <w:tabs>
          <w:tab w:leader="none" w:pos="640" w:val="left"/>
          <w:tab w:leader="none" w:pos="4820" w:val="left"/>
          <w:tab w:leader="none" w:pos="528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November 8, 2022</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26035</wp:posOffset>
            </wp:positionV>
            <wp:extent cx="3806825"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06825" cy="6985"/>
                    </a:xfrm>
                    <a:prstGeom prst="rect">
                      <a:avLst/>
                    </a:prstGeom>
                    <a:noFill/>
                  </pic:spPr>
                </pic:pic>
              </a:graphicData>
            </a:graphic>
          </wp:anchor>
        </w:drawing>
      </w:r>
    </w:p>
    <w:p>
      <w:pPr>
        <w:spacing w:after="0" w:line="31"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Dennis Mulroy</w:t>
      </w:r>
    </w:p>
    <w:p>
      <w:pPr>
        <w:spacing w:after="0" w:line="19"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Chief Financial Officer</w:t>
      </w:r>
    </w:p>
    <w:p>
      <w:pPr>
        <w:spacing w:after="0" w:line="19"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0420"/>
          </w:cols>
          <w:pgMar w:left="300" w:top="1228" w:right="1179" w:bottom="1440"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9747250</wp:posOffset>
            </wp:positionV>
            <wp:extent cx="7105650" cy="196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9" w:name="page160"/>
    <w:bookmarkEnd w:id="159"/>
    <w:p>
      <w:pPr>
        <w:jc w:val="right"/>
        <w:spacing w:after="0"/>
        <w:rPr>
          <w:sz w:val="20"/>
          <w:szCs w:val="20"/>
          <w:color w:val="auto"/>
        </w:rPr>
      </w:pPr>
      <w:r>
        <w:rPr>
          <w:rFonts w:ascii="Arial" w:cs="Arial" w:eastAsia="Arial" w:hAnsi="Arial"/>
          <w:sz w:val="14"/>
          <w:szCs w:val="14"/>
          <w:b w:val="1"/>
          <w:bCs w:val="1"/>
          <w:color w:val="auto"/>
        </w:rPr>
        <w:t>EXHIBIT 31.1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PERIODIC REPORT UNDER SECTION 302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I, Daniel Faga, certify that:</w:t>
      </w:r>
    </w:p>
    <w:p>
      <w:pPr>
        <w:spacing w:after="0" w:line="125" w:lineRule="exact"/>
        <w:rPr>
          <w:sz w:val="20"/>
          <w:szCs w:val="20"/>
          <w:color w:val="auto"/>
        </w:rPr>
      </w:pPr>
    </w:p>
    <w:p>
      <w:pPr>
        <w:ind w:left="140" w:hanging="135"/>
        <w:spacing w:after="0"/>
        <w:tabs>
          <w:tab w:leader="none" w:pos="1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AnaptysBio, Inc.;</w:t>
      </w:r>
    </w:p>
    <w:p>
      <w:pPr>
        <w:spacing w:after="0" w:line="93" w:lineRule="exact"/>
        <w:rPr>
          <w:rFonts w:ascii="Arial" w:cs="Arial" w:eastAsia="Arial" w:hAnsi="Arial"/>
          <w:sz w:val="14"/>
          <w:szCs w:val="14"/>
          <w:color w:val="auto"/>
        </w:rPr>
      </w:pPr>
    </w:p>
    <w:p>
      <w:pPr>
        <w:ind w:left="140" w:right="260" w:hanging="135"/>
        <w:spacing w:after="0" w:line="281" w:lineRule="auto"/>
        <w:tabs>
          <w:tab w:leader="none" w:pos="154" w:val="left"/>
        </w:tabs>
        <w:numPr>
          <w:ilvl w:val="0"/>
          <w:numId w:val="3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4"/>
          <w:szCs w:val="14"/>
          <w:color w:val="auto"/>
        </w:rPr>
      </w:pPr>
    </w:p>
    <w:p>
      <w:pPr>
        <w:ind w:left="140" w:right="40" w:hanging="135"/>
        <w:spacing w:after="0" w:line="281" w:lineRule="auto"/>
        <w:tabs>
          <w:tab w:leader="none" w:pos="154" w:val="left"/>
        </w:tabs>
        <w:numPr>
          <w:ilvl w:val="0"/>
          <w:numId w:val="3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4"/>
          <w:szCs w:val="14"/>
          <w:color w:val="auto"/>
        </w:rPr>
      </w:pPr>
    </w:p>
    <w:p>
      <w:pPr>
        <w:ind w:left="140" w:right="160" w:hanging="135"/>
        <w:spacing w:after="0" w:line="281" w:lineRule="auto"/>
        <w:tabs>
          <w:tab w:leader="none" w:pos="154"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rFonts w:ascii="Arial" w:cs="Arial" w:eastAsia="Arial" w:hAnsi="Arial"/>
          <w:sz w:val="14"/>
          <w:szCs w:val="14"/>
          <w:color w:val="auto"/>
        </w:rPr>
      </w:pPr>
    </w:p>
    <w:p>
      <w:pPr>
        <w:ind w:left="320" w:right="240" w:hanging="124"/>
        <w:spacing w:after="0" w:line="321" w:lineRule="auto"/>
        <w:tabs>
          <w:tab w:leader="none" w:pos="338" w:val="left"/>
        </w:tabs>
        <w:numPr>
          <w:ilvl w:val="1"/>
          <w:numId w:val="39"/>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 w:lineRule="exact"/>
        <w:rPr>
          <w:rFonts w:ascii="Arial" w:cs="Arial" w:eastAsia="Arial" w:hAnsi="Arial"/>
          <w:sz w:val="13"/>
          <w:szCs w:val="13"/>
          <w:color w:val="auto"/>
        </w:rPr>
      </w:pPr>
    </w:p>
    <w:p>
      <w:pPr>
        <w:ind w:left="320" w:right="80" w:hanging="124"/>
        <w:spacing w:after="0" w:line="321" w:lineRule="auto"/>
        <w:tabs>
          <w:tab w:leader="none" w:pos="346" w:val="left"/>
        </w:tabs>
        <w:numPr>
          <w:ilvl w:val="1"/>
          <w:numId w:val="39"/>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 w:lineRule="exact"/>
        <w:rPr>
          <w:rFonts w:ascii="Arial" w:cs="Arial" w:eastAsia="Arial" w:hAnsi="Arial"/>
          <w:sz w:val="13"/>
          <w:szCs w:val="13"/>
          <w:color w:val="auto"/>
        </w:rPr>
      </w:pPr>
    </w:p>
    <w:p>
      <w:pPr>
        <w:ind w:left="320" w:hanging="124"/>
        <w:spacing w:after="0" w:line="281" w:lineRule="auto"/>
        <w:tabs>
          <w:tab w:leader="none" w:pos="338" w:val="left"/>
        </w:tabs>
        <w:numPr>
          <w:ilvl w:val="1"/>
          <w:numId w:val="3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4"/>
          <w:szCs w:val="14"/>
          <w:color w:val="auto"/>
        </w:rPr>
      </w:pPr>
    </w:p>
    <w:p>
      <w:pPr>
        <w:ind w:left="320" w:right="60" w:hanging="124"/>
        <w:spacing w:after="0" w:line="321" w:lineRule="auto"/>
        <w:tabs>
          <w:tab w:leader="none" w:pos="346" w:val="left"/>
        </w:tabs>
        <w:numPr>
          <w:ilvl w:val="1"/>
          <w:numId w:val="3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 w:lineRule="exact"/>
        <w:rPr>
          <w:rFonts w:ascii="Arial" w:cs="Arial" w:eastAsia="Arial" w:hAnsi="Arial"/>
          <w:sz w:val="13"/>
          <w:szCs w:val="13"/>
          <w:color w:val="auto"/>
        </w:rPr>
      </w:pPr>
    </w:p>
    <w:p>
      <w:pPr>
        <w:ind w:left="140" w:right="120" w:hanging="135"/>
        <w:spacing w:after="0" w:line="281" w:lineRule="auto"/>
        <w:tabs>
          <w:tab w:leader="none" w:pos="154"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4"/>
          <w:szCs w:val="14"/>
          <w:color w:val="auto"/>
        </w:rPr>
      </w:pPr>
    </w:p>
    <w:p>
      <w:pPr>
        <w:ind w:left="320" w:right="140" w:hanging="124"/>
        <w:spacing w:after="0" w:line="281" w:lineRule="auto"/>
        <w:tabs>
          <w:tab w:leader="none" w:pos="338" w:val="left"/>
        </w:tabs>
        <w:numPr>
          <w:ilvl w:val="1"/>
          <w:numId w:val="3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4"/>
          <w:szCs w:val="14"/>
          <w:color w:val="auto"/>
        </w:rPr>
      </w:pPr>
    </w:p>
    <w:p>
      <w:pPr>
        <w:ind w:left="340" w:hanging="144"/>
        <w:spacing w:after="0"/>
        <w:tabs>
          <w:tab w:leader="none" w:pos="340" w:val="left"/>
        </w:tabs>
        <w:numPr>
          <w:ilvl w:val="1"/>
          <w:numId w:val="3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Date: November 8, 2022</w:t>
      </w:r>
    </w:p>
    <w:p>
      <w:pPr>
        <w:spacing w:after="0" w:line="285" w:lineRule="exact"/>
        <w:rPr>
          <w:sz w:val="20"/>
          <w:szCs w:val="20"/>
          <w:color w:val="auto"/>
        </w:rPr>
      </w:pPr>
    </w:p>
    <w:p>
      <w:pPr>
        <w:ind w:left="6540"/>
        <w:spacing w:after="0"/>
        <w:rPr>
          <w:sz w:val="20"/>
          <w:szCs w:val="20"/>
          <w:color w:val="auto"/>
        </w:rPr>
      </w:pPr>
      <w:r>
        <w:rPr>
          <w:rFonts w:ascii="Arial" w:cs="Arial" w:eastAsia="Arial" w:hAnsi="Arial"/>
          <w:sz w:val="14"/>
          <w:szCs w:val="14"/>
          <w:color w:val="auto"/>
        </w:rPr>
        <w:t>/s/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4139565</wp:posOffset>
            </wp:positionH>
            <wp:positionV relativeFrom="paragraph">
              <wp:posOffset>12065</wp:posOffset>
            </wp:positionV>
            <wp:extent cx="3025140"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025140" cy="6985"/>
                    </a:xfrm>
                    <a:prstGeom prst="rect">
                      <a:avLst/>
                    </a:prstGeom>
                    <a:noFill/>
                  </pic:spPr>
                </pic:pic>
              </a:graphicData>
            </a:graphic>
          </wp:anchor>
        </w:drawing>
      </w:r>
    </w:p>
    <w:p>
      <w:pPr>
        <w:spacing w:after="0" w:line="10" w:lineRule="exact"/>
        <w:rPr>
          <w:sz w:val="20"/>
          <w:szCs w:val="20"/>
          <w:color w:val="auto"/>
        </w:rPr>
      </w:pPr>
    </w:p>
    <w:p>
      <w:pPr>
        <w:ind w:left="6540"/>
        <w:spacing w:after="0"/>
        <w:rPr>
          <w:sz w:val="20"/>
          <w:szCs w:val="20"/>
          <w:color w:val="auto"/>
        </w:rPr>
      </w:pPr>
      <w:r>
        <w:rPr>
          <w:rFonts w:ascii="Arial" w:cs="Arial" w:eastAsia="Arial" w:hAnsi="Arial"/>
          <w:sz w:val="14"/>
          <w:szCs w:val="14"/>
          <w:color w:val="auto"/>
        </w:rPr>
        <w:t>Daniel Faga</w:t>
      </w:r>
    </w:p>
    <w:p>
      <w:pPr>
        <w:spacing w:after="0" w:line="19" w:lineRule="exact"/>
        <w:rPr>
          <w:sz w:val="20"/>
          <w:szCs w:val="20"/>
          <w:color w:val="auto"/>
        </w:rPr>
      </w:pPr>
    </w:p>
    <w:p>
      <w:pPr>
        <w:ind w:left="6540"/>
        <w:spacing w:after="0"/>
        <w:rPr>
          <w:sz w:val="20"/>
          <w:szCs w:val="20"/>
          <w:color w:val="auto"/>
        </w:rPr>
      </w:pPr>
      <w:r>
        <w:rPr>
          <w:rFonts w:ascii="Arial" w:cs="Arial" w:eastAsia="Arial" w:hAnsi="Arial"/>
          <w:sz w:val="14"/>
          <w:szCs w:val="14"/>
          <w:i w:val="1"/>
          <w:iCs w:val="1"/>
          <w:color w:val="auto"/>
        </w:rPr>
        <w:t>Interim President and Chief Executive Officer</w:t>
      </w:r>
    </w:p>
    <w:p>
      <w:pPr>
        <w:spacing w:after="0" w:line="19" w:lineRule="exact"/>
        <w:rPr>
          <w:sz w:val="20"/>
          <w:szCs w:val="20"/>
          <w:color w:val="auto"/>
        </w:rPr>
      </w:pPr>
    </w:p>
    <w:p>
      <w:pPr>
        <w:ind w:left="6540"/>
        <w:spacing w:after="0"/>
        <w:rPr>
          <w:sz w:val="20"/>
          <w:szCs w:val="20"/>
          <w:color w:val="auto"/>
        </w:rPr>
      </w:pPr>
      <w:r>
        <w:rPr>
          <w:rFonts w:ascii="Arial" w:cs="Arial" w:eastAsia="Arial" w:hAnsi="Arial"/>
          <w:sz w:val="14"/>
          <w:szCs w:val="14"/>
          <w:color w:val="auto"/>
        </w:rPr>
        <w:t>(Principal Executive Officer</w:t>
      </w:r>
      <w:r>
        <w:rPr>
          <w:rFonts w:ascii="Arial" w:cs="Arial" w:eastAsia="Arial" w:hAnsi="Arial"/>
          <w:sz w:val="14"/>
          <w:szCs w:val="14"/>
          <w:i w:val="1"/>
          <w:iCs w:val="1"/>
          <w:color w:val="auto"/>
        </w:rPr>
        <w:t>)</w:t>
      </w:r>
    </w:p>
    <w:p>
      <w:pPr>
        <w:sectPr>
          <w:pgSz w:w="11900" w:h="16838" w:orient="portrait"/>
          <w:cols w:equalWidth="0" w:num="1">
            <w:col w:w="11280"/>
          </w:cols>
          <w:pgMar w:left="300" w:top="1143" w:right="319" w:bottom="1440" w:gutter="0" w:footer="0" w:header="0"/>
        </w:sectPr>
      </w:pPr>
    </w:p>
    <w:bookmarkStart w:id="160" w:name="page161"/>
    <w:bookmarkEnd w:id="160"/>
    <w:p>
      <w:pPr>
        <w:jc w:val="right"/>
        <w:spacing w:after="0"/>
        <w:rPr>
          <w:sz w:val="20"/>
          <w:szCs w:val="20"/>
          <w:color w:val="auto"/>
        </w:rPr>
      </w:pPr>
      <w:r>
        <w:rPr>
          <w:rFonts w:ascii="Arial" w:cs="Arial" w:eastAsia="Arial" w:hAnsi="Arial"/>
          <w:sz w:val="14"/>
          <w:szCs w:val="14"/>
          <w:b w:val="1"/>
          <w:bCs w:val="1"/>
          <w:color w:val="auto"/>
        </w:rPr>
        <w:t>EXHIBIT 31.2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PERIODIC REPORT UNDER SECTION 302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I, Dennis Mulroy, certify that:</w:t>
      </w:r>
    </w:p>
    <w:p>
      <w:pPr>
        <w:spacing w:after="0" w:line="168" w:lineRule="exact"/>
        <w:rPr>
          <w:sz w:val="20"/>
          <w:szCs w:val="20"/>
          <w:color w:val="auto"/>
        </w:rPr>
      </w:pPr>
    </w:p>
    <w:p>
      <w:pPr>
        <w:ind w:left="140" w:hanging="135"/>
        <w:spacing w:after="0"/>
        <w:tabs>
          <w:tab w:leader="none" w:pos="1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AnaptysBio, Inc.;</w:t>
      </w:r>
    </w:p>
    <w:p>
      <w:pPr>
        <w:spacing w:after="0" w:line="125" w:lineRule="exact"/>
        <w:rPr>
          <w:rFonts w:ascii="Arial" w:cs="Arial" w:eastAsia="Arial" w:hAnsi="Arial"/>
          <w:sz w:val="14"/>
          <w:szCs w:val="14"/>
          <w:color w:val="auto"/>
        </w:rPr>
      </w:pPr>
    </w:p>
    <w:p>
      <w:pPr>
        <w:ind w:left="140" w:right="260" w:hanging="135"/>
        <w:spacing w:after="0" w:line="281" w:lineRule="auto"/>
        <w:tabs>
          <w:tab w:leader="none" w:pos="154" w:val="left"/>
        </w:tabs>
        <w:numPr>
          <w:ilvl w:val="0"/>
          <w:numId w:val="4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4"/>
          <w:szCs w:val="14"/>
          <w:color w:val="auto"/>
        </w:rPr>
      </w:pPr>
    </w:p>
    <w:p>
      <w:pPr>
        <w:ind w:left="140" w:right="40" w:hanging="135"/>
        <w:spacing w:after="0" w:line="281" w:lineRule="auto"/>
        <w:tabs>
          <w:tab w:leader="none" w:pos="154" w:val="left"/>
        </w:tabs>
        <w:numPr>
          <w:ilvl w:val="0"/>
          <w:numId w:val="4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4"/>
          <w:szCs w:val="14"/>
          <w:color w:val="auto"/>
        </w:rPr>
      </w:pPr>
    </w:p>
    <w:p>
      <w:pPr>
        <w:ind w:left="140" w:right="160" w:hanging="135"/>
        <w:spacing w:after="0" w:line="281" w:lineRule="auto"/>
        <w:tabs>
          <w:tab w:leader="none" w:pos="154"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rFonts w:ascii="Arial" w:cs="Arial" w:eastAsia="Arial" w:hAnsi="Arial"/>
          <w:sz w:val="14"/>
          <w:szCs w:val="14"/>
          <w:color w:val="auto"/>
        </w:rPr>
      </w:pPr>
    </w:p>
    <w:p>
      <w:pPr>
        <w:ind w:left="320" w:right="240" w:hanging="124"/>
        <w:spacing w:after="0" w:line="321" w:lineRule="auto"/>
        <w:tabs>
          <w:tab w:leader="none" w:pos="338" w:val="left"/>
        </w:tabs>
        <w:numPr>
          <w:ilvl w:val="1"/>
          <w:numId w:val="40"/>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 w:lineRule="exact"/>
        <w:rPr>
          <w:rFonts w:ascii="Arial" w:cs="Arial" w:eastAsia="Arial" w:hAnsi="Arial"/>
          <w:sz w:val="13"/>
          <w:szCs w:val="13"/>
          <w:color w:val="auto"/>
        </w:rPr>
      </w:pPr>
    </w:p>
    <w:p>
      <w:pPr>
        <w:ind w:left="320" w:right="80" w:hanging="124"/>
        <w:spacing w:after="0" w:line="321" w:lineRule="auto"/>
        <w:tabs>
          <w:tab w:leader="none" w:pos="346" w:val="left"/>
        </w:tabs>
        <w:numPr>
          <w:ilvl w:val="1"/>
          <w:numId w:val="40"/>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 w:lineRule="exact"/>
        <w:rPr>
          <w:rFonts w:ascii="Arial" w:cs="Arial" w:eastAsia="Arial" w:hAnsi="Arial"/>
          <w:sz w:val="13"/>
          <w:szCs w:val="13"/>
          <w:color w:val="auto"/>
        </w:rPr>
      </w:pPr>
    </w:p>
    <w:p>
      <w:pPr>
        <w:ind w:left="320" w:hanging="124"/>
        <w:spacing w:after="0" w:line="281" w:lineRule="auto"/>
        <w:tabs>
          <w:tab w:leader="none" w:pos="338" w:val="left"/>
        </w:tabs>
        <w:numPr>
          <w:ilvl w:val="1"/>
          <w:numId w:val="4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4"/>
          <w:szCs w:val="14"/>
          <w:color w:val="auto"/>
        </w:rPr>
      </w:pPr>
    </w:p>
    <w:p>
      <w:pPr>
        <w:ind w:left="320" w:right="60" w:hanging="124"/>
        <w:spacing w:after="0" w:line="321" w:lineRule="auto"/>
        <w:tabs>
          <w:tab w:leader="none" w:pos="346" w:val="left"/>
        </w:tabs>
        <w:numPr>
          <w:ilvl w:val="1"/>
          <w:numId w:val="4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 w:lineRule="exact"/>
        <w:rPr>
          <w:rFonts w:ascii="Arial" w:cs="Arial" w:eastAsia="Arial" w:hAnsi="Arial"/>
          <w:sz w:val="13"/>
          <w:szCs w:val="13"/>
          <w:color w:val="auto"/>
        </w:rPr>
      </w:pPr>
    </w:p>
    <w:p>
      <w:pPr>
        <w:ind w:left="140" w:right="120" w:hanging="135"/>
        <w:spacing w:after="0" w:line="281" w:lineRule="auto"/>
        <w:tabs>
          <w:tab w:leader="none" w:pos="154"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4"/>
          <w:szCs w:val="14"/>
          <w:color w:val="auto"/>
        </w:rPr>
      </w:pPr>
    </w:p>
    <w:p>
      <w:pPr>
        <w:ind w:left="320" w:right="140" w:hanging="124"/>
        <w:spacing w:after="0" w:line="281" w:lineRule="auto"/>
        <w:tabs>
          <w:tab w:leader="none" w:pos="338" w:val="left"/>
        </w:tabs>
        <w:numPr>
          <w:ilvl w:val="1"/>
          <w:numId w:val="4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4"/>
          <w:szCs w:val="14"/>
          <w:color w:val="auto"/>
        </w:rPr>
      </w:pPr>
    </w:p>
    <w:p>
      <w:pPr>
        <w:ind w:left="340" w:hanging="144"/>
        <w:spacing w:after="0"/>
        <w:tabs>
          <w:tab w:leader="none" w:pos="340" w:val="left"/>
        </w:tabs>
        <w:numPr>
          <w:ilvl w:val="1"/>
          <w:numId w:val="4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Date: November 8, 2022</w:t>
      </w:r>
    </w:p>
    <w:p>
      <w:pPr>
        <w:spacing w:after="0" w:line="285"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2806065</wp:posOffset>
            </wp:positionH>
            <wp:positionV relativeFrom="paragraph">
              <wp:posOffset>12065</wp:posOffset>
            </wp:positionV>
            <wp:extent cx="4359275"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359275" cy="6985"/>
                    </a:xfrm>
                    <a:prstGeom prst="rect">
                      <a:avLst/>
                    </a:prstGeom>
                    <a:noFill/>
                  </pic:spPr>
                </pic:pic>
              </a:graphicData>
            </a:graphic>
          </wp:anchor>
        </w:drawing>
      </w:r>
    </w:p>
    <w:p>
      <w:pPr>
        <w:spacing w:after="0" w:line="10"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Dennis Mulroy</w:t>
      </w:r>
    </w:p>
    <w:p>
      <w:pPr>
        <w:spacing w:after="0" w:line="19" w:lineRule="exact"/>
        <w:rPr>
          <w:sz w:val="20"/>
          <w:szCs w:val="20"/>
          <w:color w:val="auto"/>
        </w:rPr>
      </w:pPr>
    </w:p>
    <w:p>
      <w:pPr>
        <w:ind w:left="4440"/>
        <w:spacing w:after="0"/>
        <w:rPr>
          <w:sz w:val="20"/>
          <w:szCs w:val="20"/>
          <w:color w:val="auto"/>
        </w:rPr>
      </w:pPr>
      <w:r>
        <w:rPr>
          <w:rFonts w:ascii="Arial" w:cs="Arial" w:eastAsia="Arial" w:hAnsi="Arial"/>
          <w:sz w:val="14"/>
          <w:szCs w:val="14"/>
          <w:i w:val="1"/>
          <w:iCs w:val="1"/>
          <w:color w:val="auto"/>
        </w:rPr>
        <w:t>Chief Financial Officer</w:t>
      </w:r>
    </w:p>
    <w:p>
      <w:pPr>
        <w:spacing w:after="0" w:line="19"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(Principal Financial Officer)</w:t>
      </w:r>
    </w:p>
    <w:p>
      <w:pPr>
        <w:sectPr>
          <w:pgSz w:w="11900" w:h="16838" w:orient="portrait"/>
          <w:cols w:equalWidth="0" w:num="1">
            <w:col w:w="11280"/>
          </w:cols>
          <w:pgMar w:left="300" w:top="1143" w:right="319" w:bottom="1440" w:gutter="0" w:footer="0" w:header="0"/>
        </w:sectPr>
      </w:pPr>
    </w:p>
    <w:bookmarkStart w:id="161" w:name="page162"/>
    <w:bookmarkEnd w:id="161"/>
    <w:p>
      <w:pPr>
        <w:jc w:val="right"/>
        <w:spacing w:after="0"/>
        <w:rPr>
          <w:sz w:val="20"/>
          <w:szCs w:val="20"/>
          <w:color w:val="auto"/>
        </w:rPr>
      </w:pPr>
      <w:r>
        <w:rPr>
          <w:rFonts w:ascii="Arial" w:cs="Arial" w:eastAsia="Arial" w:hAnsi="Arial"/>
          <w:sz w:val="14"/>
          <w:szCs w:val="14"/>
          <w:b w:val="1"/>
          <w:bCs w:val="1"/>
          <w:color w:val="auto"/>
        </w:rPr>
        <w:t>EXHIBIT 32.1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 THE SARBANES-OXLEY ACT OF 2002</w:t>
      </w:r>
    </w:p>
    <w:p>
      <w:pPr>
        <w:spacing w:after="0" w:line="168"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I, Daniel Faga, Chief Executive Officer of AnaptysBio, Inc. (Company), do hereby certify, pursuant to 18 U.S.C. Section 1350, as adopted pursuant to Section 906 of the Sarbanes-Oxley Act of 2002, that to the best of my knowledge:</w:t>
      </w:r>
    </w:p>
    <w:p>
      <w:pPr>
        <w:spacing w:after="0" w:line="47" w:lineRule="exact"/>
        <w:rPr>
          <w:sz w:val="20"/>
          <w:szCs w:val="20"/>
          <w:color w:val="auto"/>
        </w:rPr>
      </w:pPr>
    </w:p>
    <w:p>
      <w:pPr>
        <w:ind w:left="700" w:right="60" w:hanging="313"/>
        <w:spacing w:after="0" w:line="281" w:lineRule="auto"/>
        <w:tabs>
          <w:tab w:leader="none" w:pos="696"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Quarterly Report on Form 10-Q of the Company for the quarter ended September 30, 2022 (the “Report”), as filed with the Securities and Exchange Commission, fully complies with the requirements of Section 13(a) or 15(d) of the Securities Exchange Act of 1934; and</w:t>
      </w:r>
    </w:p>
    <w:p>
      <w:pPr>
        <w:spacing w:after="0" w:line="47" w:lineRule="exact"/>
        <w:rPr>
          <w:rFonts w:ascii="Arial" w:cs="Arial" w:eastAsia="Arial" w:hAnsi="Arial"/>
          <w:sz w:val="14"/>
          <w:szCs w:val="14"/>
          <w:color w:val="auto"/>
        </w:rPr>
      </w:pPr>
    </w:p>
    <w:p>
      <w:pPr>
        <w:ind w:left="700" w:hanging="313"/>
        <w:spacing w:after="0"/>
        <w:tabs>
          <w:tab w:leader="none" w:pos="7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 for the periods presented therein.</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Date: November 8, 2022</w:t>
      </w:r>
    </w:p>
    <w:p>
      <w:pPr>
        <w:spacing w:after="0" w:line="285" w:lineRule="exact"/>
        <w:rPr>
          <w:sz w:val="20"/>
          <w:szCs w:val="20"/>
          <w:color w:val="auto"/>
        </w:rPr>
      </w:pPr>
    </w:p>
    <w:p>
      <w:pPr>
        <w:ind w:left="6520"/>
        <w:spacing w:after="0"/>
        <w:rPr>
          <w:sz w:val="20"/>
          <w:szCs w:val="20"/>
          <w:color w:val="auto"/>
        </w:rPr>
      </w:pPr>
      <w:r>
        <w:rPr>
          <w:rFonts w:ascii="Arial" w:cs="Arial" w:eastAsia="Arial" w:hAnsi="Arial"/>
          <w:sz w:val="14"/>
          <w:szCs w:val="14"/>
          <w:color w:val="auto"/>
        </w:rPr>
        <w:t>/s/ Daniel Faga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4126230</wp:posOffset>
            </wp:positionH>
            <wp:positionV relativeFrom="paragraph">
              <wp:posOffset>12065</wp:posOffset>
            </wp:positionV>
            <wp:extent cx="3038475"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038475" cy="6985"/>
                    </a:xfrm>
                    <a:prstGeom prst="rect">
                      <a:avLst/>
                    </a:prstGeom>
                    <a:noFill/>
                  </pic:spPr>
                </pic:pic>
              </a:graphicData>
            </a:graphic>
          </wp:anchor>
        </w:drawing>
      </w:r>
    </w:p>
    <w:p>
      <w:pPr>
        <w:spacing w:after="0" w:line="10" w:lineRule="exact"/>
        <w:rPr>
          <w:sz w:val="20"/>
          <w:szCs w:val="20"/>
          <w:color w:val="auto"/>
        </w:rPr>
      </w:pPr>
    </w:p>
    <w:p>
      <w:pPr>
        <w:ind w:left="6520"/>
        <w:spacing w:after="0"/>
        <w:rPr>
          <w:sz w:val="20"/>
          <w:szCs w:val="20"/>
          <w:color w:val="auto"/>
        </w:rPr>
      </w:pPr>
      <w:r>
        <w:rPr>
          <w:rFonts w:ascii="Arial" w:cs="Arial" w:eastAsia="Arial" w:hAnsi="Arial"/>
          <w:sz w:val="14"/>
          <w:szCs w:val="14"/>
          <w:color w:val="auto"/>
        </w:rPr>
        <w:t>Daniel Faga</w:t>
      </w:r>
    </w:p>
    <w:p>
      <w:pPr>
        <w:spacing w:after="0" w:line="19" w:lineRule="exact"/>
        <w:rPr>
          <w:sz w:val="20"/>
          <w:szCs w:val="20"/>
          <w:color w:val="auto"/>
        </w:rPr>
      </w:pPr>
    </w:p>
    <w:p>
      <w:pPr>
        <w:ind w:left="6520"/>
        <w:spacing w:after="0"/>
        <w:rPr>
          <w:sz w:val="20"/>
          <w:szCs w:val="20"/>
          <w:color w:val="auto"/>
        </w:rPr>
      </w:pPr>
      <w:r>
        <w:rPr>
          <w:rFonts w:ascii="Arial" w:cs="Arial" w:eastAsia="Arial" w:hAnsi="Arial"/>
          <w:sz w:val="14"/>
          <w:szCs w:val="14"/>
          <w:i w:val="1"/>
          <w:iCs w:val="1"/>
          <w:color w:val="auto"/>
        </w:rPr>
        <w:t>Interim President and Chief Executive Officer</w:t>
      </w:r>
    </w:p>
    <w:p>
      <w:pPr>
        <w:spacing w:after="0" w:line="19" w:lineRule="exact"/>
        <w:rPr>
          <w:sz w:val="20"/>
          <w:szCs w:val="20"/>
          <w:color w:val="auto"/>
        </w:rPr>
      </w:pPr>
    </w:p>
    <w:p>
      <w:pPr>
        <w:ind w:left="6520"/>
        <w:spacing w:after="0"/>
        <w:rPr>
          <w:sz w:val="20"/>
          <w:szCs w:val="20"/>
          <w:color w:val="auto"/>
        </w:rPr>
      </w:pPr>
      <w:r>
        <w:rPr>
          <w:rFonts w:ascii="Arial" w:cs="Arial" w:eastAsia="Arial" w:hAnsi="Arial"/>
          <w:sz w:val="14"/>
          <w:szCs w:val="14"/>
          <w:color w:val="auto"/>
        </w:rPr>
        <w:t>(Principal Executive Officer</w:t>
      </w:r>
      <w:r>
        <w:rPr>
          <w:rFonts w:ascii="Arial" w:cs="Arial" w:eastAsia="Arial" w:hAnsi="Arial"/>
          <w:sz w:val="14"/>
          <w:szCs w:val="14"/>
          <w:i w:val="1"/>
          <w:iCs w:val="1"/>
          <w:color w:val="auto"/>
        </w:rPr>
        <w:t>)</w:t>
      </w:r>
    </w:p>
    <w:p>
      <w:pPr>
        <w:sectPr>
          <w:pgSz w:w="11900" w:h="16838" w:orient="portrait"/>
          <w:cols w:equalWidth="0" w:num="1">
            <w:col w:w="11280"/>
          </w:cols>
          <w:pgMar w:left="300" w:top="1143" w:right="319" w:bottom="1440" w:gutter="0" w:footer="0" w:header="0"/>
        </w:sectPr>
      </w:pPr>
    </w:p>
    <w:bookmarkStart w:id="162" w:name="page163"/>
    <w:bookmarkEnd w:id="162"/>
    <w:p>
      <w:pPr>
        <w:jc w:val="right"/>
        <w:spacing w:after="0"/>
        <w:rPr>
          <w:sz w:val="20"/>
          <w:szCs w:val="20"/>
          <w:color w:val="auto"/>
        </w:rPr>
      </w:pPr>
      <w:r>
        <w:rPr>
          <w:rFonts w:ascii="Arial" w:cs="Arial" w:eastAsia="Arial" w:hAnsi="Arial"/>
          <w:sz w:val="14"/>
          <w:szCs w:val="14"/>
          <w:b w:val="1"/>
          <w:bCs w:val="1"/>
          <w:color w:val="auto"/>
        </w:rPr>
        <w:t>EXHIBIT 32.2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 THE SARBANES-OXLEY ACT OF 2002</w:t>
      </w:r>
    </w:p>
    <w:p>
      <w:pPr>
        <w:spacing w:after="0" w:line="168" w:lineRule="exact"/>
        <w:rPr>
          <w:sz w:val="20"/>
          <w:szCs w:val="20"/>
          <w:color w:val="auto"/>
        </w:rPr>
      </w:pPr>
    </w:p>
    <w:p>
      <w:pPr>
        <w:ind w:right="240"/>
        <w:spacing w:after="0" w:line="281" w:lineRule="auto"/>
        <w:rPr>
          <w:sz w:val="20"/>
          <w:szCs w:val="20"/>
          <w:color w:val="auto"/>
        </w:rPr>
      </w:pPr>
      <w:r>
        <w:rPr>
          <w:rFonts w:ascii="Arial" w:cs="Arial" w:eastAsia="Arial" w:hAnsi="Arial"/>
          <w:sz w:val="14"/>
          <w:szCs w:val="14"/>
          <w:color w:val="auto"/>
        </w:rPr>
        <w:t>I, Dennis Mulroy, Chief Financial Officer of AnaptysBio, Inc. (Company), do hereby certify, pursuant to 18 U.S.C. Section 1350, as adopted pursuant to Section 906 of the Sarbanes-Oxley Act of 2002, that to the best of my knowledge:</w:t>
      </w:r>
    </w:p>
    <w:p>
      <w:pPr>
        <w:spacing w:after="0" w:line="47" w:lineRule="exact"/>
        <w:rPr>
          <w:sz w:val="20"/>
          <w:szCs w:val="20"/>
          <w:color w:val="auto"/>
        </w:rPr>
      </w:pPr>
    </w:p>
    <w:p>
      <w:pPr>
        <w:ind w:left="700" w:right="60" w:hanging="313"/>
        <w:spacing w:after="0" w:line="281" w:lineRule="auto"/>
        <w:tabs>
          <w:tab w:leader="none" w:pos="696"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Quarterly Report on Form 10-Q of the Company for the quarter ended September 30, 2022 (the “Report”), as filed with the Securities and Exchange Commission, fully complies with the requirements of Section 13(a) or 15(d) of the Securities Exchange Act of 1934; and</w:t>
      </w:r>
    </w:p>
    <w:p>
      <w:pPr>
        <w:spacing w:after="0" w:line="47" w:lineRule="exact"/>
        <w:rPr>
          <w:rFonts w:ascii="Arial" w:cs="Arial" w:eastAsia="Arial" w:hAnsi="Arial"/>
          <w:sz w:val="14"/>
          <w:szCs w:val="14"/>
          <w:color w:val="auto"/>
        </w:rPr>
      </w:pPr>
    </w:p>
    <w:p>
      <w:pPr>
        <w:ind w:left="700" w:hanging="313"/>
        <w:spacing w:after="0"/>
        <w:tabs>
          <w:tab w:leader="none" w:pos="7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 for the periods presented therein.</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Date: November 8, 2022</w:t>
      </w:r>
    </w:p>
    <w:p>
      <w:pPr>
        <w:spacing w:after="0" w:line="285" w:lineRule="exact"/>
        <w:rPr>
          <w:sz w:val="20"/>
          <w:szCs w:val="20"/>
          <w:color w:val="auto"/>
        </w:rPr>
      </w:pPr>
    </w:p>
    <w:p>
      <w:pPr>
        <w:ind w:left="4600"/>
        <w:spacing w:after="0"/>
        <w:rPr>
          <w:sz w:val="20"/>
          <w:szCs w:val="20"/>
          <w:color w:val="auto"/>
        </w:rPr>
      </w:pPr>
      <w:r>
        <w:rPr>
          <w:rFonts w:ascii="Arial" w:cs="Arial" w:eastAsia="Arial" w:hAnsi="Arial"/>
          <w:sz w:val="14"/>
          <w:szCs w:val="14"/>
          <w:color w:val="auto"/>
        </w:rPr>
        <w:t>/s/ Dennis Mulroy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2907030</wp:posOffset>
            </wp:positionH>
            <wp:positionV relativeFrom="paragraph">
              <wp:posOffset>12065</wp:posOffset>
            </wp:positionV>
            <wp:extent cx="4257675"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257675" cy="6985"/>
                    </a:xfrm>
                    <a:prstGeom prst="rect">
                      <a:avLst/>
                    </a:prstGeom>
                    <a:noFill/>
                  </pic:spPr>
                </pic:pic>
              </a:graphicData>
            </a:graphic>
          </wp:anchor>
        </w:drawing>
      </w:r>
    </w:p>
    <w:p>
      <w:pPr>
        <w:spacing w:after="0" w:line="10" w:lineRule="exact"/>
        <w:rPr>
          <w:sz w:val="20"/>
          <w:szCs w:val="20"/>
          <w:color w:val="auto"/>
        </w:rPr>
      </w:pPr>
    </w:p>
    <w:p>
      <w:pPr>
        <w:ind w:left="4600"/>
        <w:spacing w:after="0"/>
        <w:rPr>
          <w:sz w:val="20"/>
          <w:szCs w:val="20"/>
          <w:color w:val="auto"/>
        </w:rPr>
      </w:pPr>
      <w:r>
        <w:rPr>
          <w:rFonts w:ascii="Arial" w:cs="Arial" w:eastAsia="Arial" w:hAnsi="Arial"/>
          <w:sz w:val="14"/>
          <w:szCs w:val="14"/>
          <w:color w:val="auto"/>
        </w:rPr>
        <w:t>Dennis Mulroy</w:t>
      </w:r>
    </w:p>
    <w:p>
      <w:pPr>
        <w:spacing w:after="0" w:line="19" w:lineRule="exact"/>
        <w:rPr>
          <w:sz w:val="20"/>
          <w:szCs w:val="20"/>
          <w:color w:val="auto"/>
        </w:rPr>
      </w:pPr>
    </w:p>
    <w:p>
      <w:pPr>
        <w:ind w:left="4600"/>
        <w:spacing w:after="0"/>
        <w:rPr>
          <w:sz w:val="20"/>
          <w:szCs w:val="20"/>
          <w:color w:val="auto"/>
        </w:rPr>
      </w:pPr>
      <w:r>
        <w:rPr>
          <w:rFonts w:ascii="Arial" w:cs="Arial" w:eastAsia="Arial" w:hAnsi="Arial"/>
          <w:sz w:val="14"/>
          <w:szCs w:val="14"/>
          <w:i w:val="1"/>
          <w:iCs w:val="1"/>
          <w:color w:val="auto"/>
        </w:rPr>
        <w:t>Chief Financial Officer</w:t>
      </w:r>
    </w:p>
    <w:p>
      <w:pPr>
        <w:spacing w:after="0" w:line="19" w:lineRule="exact"/>
        <w:rPr>
          <w:sz w:val="20"/>
          <w:szCs w:val="20"/>
          <w:color w:val="auto"/>
        </w:rPr>
      </w:pPr>
    </w:p>
    <w:p>
      <w:pPr>
        <w:ind w:left="4600"/>
        <w:spacing w:after="0"/>
        <w:rPr>
          <w:sz w:val="20"/>
          <w:szCs w:val="20"/>
          <w:color w:val="auto"/>
        </w:rPr>
      </w:pPr>
      <w:r>
        <w:rPr>
          <w:rFonts w:ascii="Arial" w:cs="Arial" w:eastAsia="Arial" w:hAnsi="Arial"/>
          <w:sz w:val="14"/>
          <w:szCs w:val="14"/>
          <w:color w:val="auto"/>
        </w:rPr>
        <w:t>(Principal Financial Officer)</w:t>
      </w:r>
    </w:p>
    <w:sectPr>
      <w:pgSz w:w="11900" w:h="16838" w:orient="portrait"/>
      <w:cols w:equalWidth="0" w:num="1">
        <w:col w:w="11280"/>
      </w:cols>
      <w:pgMar w:left="300" w:top="114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2"/>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1."/>
      <w:numFmt w:val="decimal"/>
      <w:start w:val="6"/>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1."/>
      <w:numFmt w:val="decimal"/>
      <w:start w:val="7"/>
    </w:lvl>
  </w:abstractNum>
  <w:abstractNum w:abstractNumId="9">
    <w:nsid w:val="B03E0C6"/>
    <w:multiLevelType w:val="hybridMultilevel"/>
    <w:lvl w:ilvl="0">
      <w:lvlJc w:val="left"/>
      <w:lvlText w:val="%1."/>
      <w:numFmt w:val="decimal"/>
      <w:start w:val="9"/>
    </w:lvl>
  </w:abstractNum>
  <w:abstractNum w:abstractNumId="10">
    <w:nsid w:val="189A769B"/>
    <w:multiLevelType w:val="hybridMultilevel"/>
    <w:lvl w:ilvl="0">
      <w:lvlJc w:val="left"/>
      <w:lvlText w:val="%1."/>
      <w:numFmt w:val="decimal"/>
      <w:start w:val="10"/>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1)"/>
      <w:numFmt w:val="upperLetter"/>
      <w:start w:val="8"/>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lvl w:ilvl="1">
      <w:lvlJc w:val="left"/>
      <w:lvlText w:val="%2"/>
      <w:numFmt w:val="decimal"/>
      <w:start w:val="104"/>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
      <w:numFmt w:val="bullet"/>
      <w:start w:val="1"/>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2022-11-08T16:24:54Z</dcterms:created>
  <dcterms:modified xsi:type="dcterms:W3CDTF">2022-11-08T16:24:54Z</dcterms:modified>
</cp:coreProperties>
</file>