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Marquet Magda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-3275330</wp:posOffset>
            </wp:positionV>
            <wp:extent cx="7033895" cy="3414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41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as to 1/36 of the total shares monthly beginning on February 18, 2021 until fully vested, subject to the Reporting Person's continued service on each vesting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shall be fully vested as of February 12, 2021, subject to the Reporting Person's continued service on the vesting date.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01/19/2021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148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2021-01-19T15:38:05Z</dcterms:created>
  <dcterms:modified xsi:type="dcterms:W3CDTF">2021-01-19T15:38:05Z</dcterms:modified>
</cp:coreProperties>
</file>